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4148D" w14:textId="2973187B" w:rsidR="00C007AD" w:rsidRPr="00444B0F" w:rsidRDefault="00C007AD" w:rsidP="00C007AD">
      <w:pPr>
        <w:spacing w:after="0" w:line="360" w:lineRule="auto"/>
        <w:jc w:val="center"/>
        <w:rPr>
          <w:rFonts w:ascii="Calibri" w:hAnsi="Calibri" w:cs="Calibri"/>
          <w:b/>
          <w:bCs/>
          <w:color w:val="auto"/>
          <w:kern w:val="2"/>
          <w:sz w:val="36"/>
          <w:szCs w:val="36"/>
        </w:rPr>
      </w:pPr>
      <w:r w:rsidRPr="00444B0F">
        <w:rPr>
          <w:rFonts w:ascii="Calibri" w:hAnsi="Calibri" w:cs="Calibri"/>
          <w:b/>
          <w:bCs/>
          <w:color w:val="auto"/>
          <w:kern w:val="2"/>
          <w:sz w:val="36"/>
          <w:szCs w:val="36"/>
        </w:rPr>
        <w:t xml:space="preserve">Glossar </w:t>
      </w:r>
      <w:r w:rsidR="00F81FC3" w:rsidRPr="00444B0F">
        <w:rPr>
          <w:rFonts w:ascii="Calibri" w:hAnsi="Calibri" w:cs="Calibri"/>
          <w:b/>
          <w:bCs/>
          <w:color w:val="auto"/>
          <w:kern w:val="2"/>
          <w:sz w:val="36"/>
          <w:szCs w:val="36"/>
        </w:rPr>
        <w:t xml:space="preserve">– </w:t>
      </w:r>
      <w:r w:rsidRPr="00444B0F">
        <w:rPr>
          <w:rFonts w:ascii="Calibri" w:hAnsi="Calibri" w:cs="Calibri"/>
          <w:b/>
          <w:bCs/>
          <w:color w:val="auto"/>
          <w:kern w:val="2"/>
          <w:sz w:val="36"/>
          <w:szCs w:val="36"/>
        </w:rPr>
        <w:t>Musterverträge zu flexiblen Netzanschlussvereinbarungen</w:t>
      </w:r>
    </w:p>
    <w:p w14:paraId="34652656" w14:textId="77777777" w:rsidR="00C007AD" w:rsidRPr="00444B0F" w:rsidRDefault="00C007AD" w:rsidP="00C007AD">
      <w:pPr>
        <w:spacing w:after="160" w:line="259" w:lineRule="auto"/>
        <w:jc w:val="center"/>
        <w:rPr>
          <w:rFonts w:ascii="Calibri" w:hAnsi="Calibri" w:cs="Calibri"/>
          <w:b/>
          <w:bCs/>
          <w:color w:val="auto"/>
          <w:kern w:val="2"/>
          <w:sz w:val="28"/>
          <w:szCs w:val="28"/>
          <w:u w:val="single"/>
        </w:rPr>
      </w:pPr>
      <w:r w:rsidRPr="00444B0F">
        <w:rPr>
          <w:rFonts w:ascii="Calibri" w:hAnsi="Calibri" w:cs="Calibri"/>
          <w:b/>
          <w:bCs/>
          <w:color w:val="auto"/>
          <w:kern w:val="2"/>
          <w:sz w:val="28"/>
          <w:szCs w:val="28"/>
          <w:u w:val="single"/>
        </w:rPr>
        <w:t>Inhaltsverzeichnis</w:t>
      </w:r>
    </w:p>
    <w:bookmarkStart w:id="0" w:name="_Toc228373641" w:displacedByCustomXml="next"/>
    <w:sdt>
      <w:sdtPr>
        <w:rPr>
          <w:rFonts w:ascii="Calibri" w:hAnsi="Calibri" w:cs="Calibri"/>
        </w:rPr>
        <w:id w:val="-1488089526"/>
        <w:docPartObj>
          <w:docPartGallery w:val="Table of Contents"/>
          <w:docPartUnique/>
        </w:docPartObj>
      </w:sdtPr>
      <w:sdtEndPr/>
      <w:sdtContent>
        <w:p w14:paraId="1FAADDCD" w14:textId="2CCE7D26" w:rsidR="008344E0" w:rsidRPr="00577EB9" w:rsidRDefault="00B3783D">
          <w:pPr>
            <w:pStyle w:val="TOC1"/>
            <w:tabs>
              <w:tab w:val="right" w:leader="dot" w:pos="9062"/>
            </w:tabs>
            <w:rPr>
              <w:rFonts w:ascii="Calibri" w:eastAsiaTheme="minorEastAsia" w:hAnsi="Calibri" w:cs="Calibri"/>
              <w:color w:val="auto"/>
              <w:kern w:val="2"/>
              <w:sz w:val="22"/>
              <w:lang w:eastAsia="de-DE"/>
            </w:rPr>
          </w:pPr>
          <w:r w:rsidRPr="00444B0F">
            <w:rPr>
              <w:rFonts w:ascii="Calibri" w:hAnsi="Calibri" w:cs="Calibri"/>
              <w:sz w:val="22"/>
            </w:rPr>
            <w:fldChar w:fldCharType="begin"/>
          </w:r>
          <w:r w:rsidRPr="00444B0F">
            <w:rPr>
              <w:rFonts w:ascii="Calibri" w:hAnsi="Calibri" w:cs="Calibri"/>
              <w:sz w:val="22"/>
            </w:rPr>
            <w:instrText xml:space="preserve"> TOC \o "1-3" \h \z \u </w:instrText>
          </w:r>
          <w:r w:rsidRPr="00444B0F">
            <w:rPr>
              <w:rFonts w:ascii="Calibri" w:hAnsi="Calibri" w:cs="Calibri"/>
              <w:sz w:val="22"/>
            </w:rPr>
            <w:fldChar w:fldCharType="separate"/>
          </w:r>
          <w:hyperlink w:anchor="_Toc230947140" w:history="1">
            <w:r w:rsidR="008344E0" w:rsidRPr="00577EB9">
              <w:rPr>
                <w:rStyle w:val="Hyperlink"/>
                <w:rFonts w:ascii="Calibri" w:hAnsi="Calibri" w:cs="Calibri"/>
                <w:sz w:val="22"/>
              </w:rPr>
              <w:t>Anlage</w:t>
            </w:r>
            <w:r w:rsidR="008344E0" w:rsidRPr="00577EB9">
              <w:rPr>
                <w:rFonts w:ascii="Calibri" w:hAnsi="Calibri" w:cs="Calibri"/>
                <w:webHidden/>
                <w:sz w:val="22"/>
              </w:rPr>
              <w:tab/>
            </w:r>
            <w:r w:rsidR="008344E0" w:rsidRPr="00577EB9">
              <w:rPr>
                <w:rFonts w:ascii="Calibri" w:hAnsi="Calibri" w:cs="Calibri"/>
                <w:webHidden/>
                <w:sz w:val="22"/>
              </w:rPr>
              <w:fldChar w:fldCharType="begin"/>
            </w:r>
            <w:r w:rsidR="008344E0" w:rsidRPr="00577EB9">
              <w:rPr>
                <w:rFonts w:ascii="Calibri" w:hAnsi="Calibri" w:cs="Calibri"/>
                <w:webHidden/>
                <w:sz w:val="22"/>
              </w:rPr>
              <w:instrText xml:space="preserve"> PAGEREF _Toc230947140 \h </w:instrText>
            </w:r>
            <w:r w:rsidR="008344E0" w:rsidRPr="00577EB9">
              <w:rPr>
                <w:rFonts w:ascii="Calibri" w:hAnsi="Calibri" w:cs="Calibri"/>
                <w:webHidden/>
                <w:sz w:val="22"/>
              </w:rPr>
            </w:r>
            <w:r w:rsidR="008344E0" w:rsidRPr="00577EB9">
              <w:rPr>
                <w:rFonts w:ascii="Calibri" w:hAnsi="Calibri" w:cs="Calibri"/>
                <w:webHidden/>
                <w:sz w:val="22"/>
              </w:rPr>
              <w:fldChar w:fldCharType="separate"/>
            </w:r>
            <w:r w:rsidR="008344E0" w:rsidRPr="00577EB9">
              <w:rPr>
                <w:rFonts w:ascii="Calibri" w:hAnsi="Calibri" w:cs="Calibri"/>
                <w:webHidden/>
                <w:sz w:val="22"/>
              </w:rPr>
              <w:t>2</w:t>
            </w:r>
            <w:r w:rsidR="008344E0" w:rsidRPr="00577EB9">
              <w:rPr>
                <w:rFonts w:ascii="Calibri" w:hAnsi="Calibri" w:cs="Calibri"/>
                <w:webHidden/>
                <w:sz w:val="22"/>
              </w:rPr>
              <w:fldChar w:fldCharType="end"/>
            </w:r>
          </w:hyperlink>
        </w:p>
        <w:p w14:paraId="790BB7DE" w14:textId="15464B9B"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41" w:history="1">
            <w:r w:rsidRPr="00577EB9">
              <w:rPr>
                <w:rStyle w:val="Hyperlink"/>
                <w:rFonts w:ascii="Calibri" w:hAnsi="Calibri" w:cs="Calibri"/>
                <w:sz w:val="22"/>
              </w:rPr>
              <w:t>Anlagenbetreiber</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_Toc230947141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2</w:t>
            </w:r>
            <w:r w:rsidRPr="00577EB9">
              <w:rPr>
                <w:rFonts w:ascii="Calibri" w:hAnsi="Calibri" w:cs="Calibri"/>
                <w:webHidden/>
                <w:sz w:val="22"/>
              </w:rPr>
              <w:fldChar w:fldCharType="end"/>
            </w:r>
          </w:hyperlink>
        </w:p>
        <w:p w14:paraId="5199BAE8" w14:textId="5EBEA11B"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42" w:history="1">
            <w:r w:rsidRPr="00577EB9">
              <w:rPr>
                <w:rStyle w:val="Hyperlink"/>
                <w:rFonts w:ascii="Calibri" w:hAnsi="Calibri" w:cs="Calibri"/>
                <w:sz w:val="22"/>
              </w:rPr>
              <w:t>Anlagenzertifikat</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_Toc230947142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2</w:t>
            </w:r>
            <w:r w:rsidRPr="00577EB9">
              <w:rPr>
                <w:rFonts w:ascii="Calibri" w:hAnsi="Calibri" w:cs="Calibri"/>
                <w:webHidden/>
                <w:sz w:val="22"/>
              </w:rPr>
              <w:fldChar w:fldCharType="end"/>
            </w:r>
          </w:hyperlink>
        </w:p>
        <w:p w14:paraId="11A4287B" w14:textId="3656B7DC"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43" w:history="1">
            <w:r w:rsidRPr="00577EB9">
              <w:rPr>
                <w:rStyle w:val="Hyperlink"/>
                <w:rFonts w:ascii="Calibri" w:hAnsi="Calibri" w:cs="Calibri"/>
                <w:sz w:val="22"/>
              </w:rPr>
              <w:t>Anschlussnehmer</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_Toc230947143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2</w:t>
            </w:r>
            <w:r w:rsidRPr="00577EB9">
              <w:rPr>
                <w:rFonts w:ascii="Calibri" w:hAnsi="Calibri" w:cs="Calibri"/>
                <w:webHidden/>
                <w:sz w:val="22"/>
              </w:rPr>
              <w:fldChar w:fldCharType="end"/>
            </w:r>
          </w:hyperlink>
        </w:p>
        <w:p w14:paraId="61B1B420" w14:textId="7E481A8E"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44" w:history="1">
            <w:r w:rsidRPr="00577EB9">
              <w:rPr>
                <w:rStyle w:val="Hyperlink"/>
                <w:rFonts w:ascii="Calibri" w:hAnsi="Calibri" w:cs="Calibri"/>
                <w:sz w:val="22"/>
              </w:rPr>
              <w:t>Anschlussnutzer (AN)</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_Toc230947144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2</w:t>
            </w:r>
            <w:r w:rsidRPr="00577EB9">
              <w:rPr>
                <w:rFonts w:ascii="Calibri" w:hAnsi="Calibri" w:cs="Calibri"/>
                <w:webHidden/>
                <w:sz w:val="22"/>
              </w:rPr>
              <w:fldChar w:fldCharType="end"/>
            </w:r>
          </w:hyperlink>
        </w:p>
        <w:p w14:paraId="7958075D" w14:textId="52E38421"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45" w:history="1">
            <w:r w:rsidRPr="00577EB9">
              <w:rPr>
                <w:rStyle w:val="Hyperlink"/>
                <w:rFonts w:ascii="Calibri" w:hAnsi="Calibri" w:cs="Calibri"/>
                <w:sz w:val="22"/>
              </w:rPr>
              <w:t>Betreiber einer technischen Ressource (BTR)</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_Toc230947145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2</w:t>
            </w:r>
            <w:r w:rsidRPr="00577EB9">
              <w:rPr>
                <w:rFonts w:ascii="Calibri" w:hAnsi="Calibri" w:cs="Calibri"/>
                <w:webHidden/>
                <w:sz w:val="22"/>
              </w:rPr>
              <w:fldChar w:fldCharType="end"/>
            </w:r>
          </w:hyperlink>
        </w:p>
        <w:p w14:paraId="411F6F86" w14:textId="1F268AD1"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46" w:history="1">
            <w:r w:rsidRPr="00577EB9">
              <w:rPr>
                <w:rStyle w:val="Hyperlink"/>
                <w:rFonts w:ascii="Calibri" w:hAnsi="Calibri" w:cs="Calibri"/>
                <w:sz w:val="22"/>
              </w:rPr>
              <w:t>Cable Pooling</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_Toc230947146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2</w:t>
            </w:r>
            <w:r w:rsidRPr="00577EB9">
              <w:rPr>
                <w:rFonts w:ascii="Calibri" w:hAnsi="Calibri" w:cs="Calibri"/>
                <w:webHidden/>
                <w:sz w:val="22"/>
              </w:rPr>
              <w:fldChar w:fldCharType="end"/>
            </w:r>
          </w:hyperlink>
        </w:p>
        <w:p w14:paraId="6E064184" w14:textId="65A581ED"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47" w:history="1">
            <w:r w:rsidRPr="00577EB9">
              <w:rPr>
                <w:rStyle w:val="Hyperlink"/>
                <w:rFonts w:ascii="Calibri" w:hAnsi="Calibri" w:cs="Calibri"/>
                <w:sz w:val="22"/>
              </w:rPr>
              <w:t>Direktvermarktung</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_Toc230947147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2</w:t>
            </w:r>
            <w:r w:rsidRPr="00577EB9">
              <w:rPr>
                <w:rFonts w:ascii="Calibri" w:hAnsi="Calibri" w:cs="Calibri"/>
                <w:webHidden/>
                <w:sz w:val="22"/>
              </w:rPr>
              <w:fldChar w:fldCharType="end"/>
            </w:r>
          </w:hyperlink>
        </w:p>
        <w:p w14:paraId="010C5CFE" w14:textId="6D519AB6"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48" w:history="1">
            <w:r w:rsidRPr="00577EB9">
              <w:rPr>
                <w:rStyle w:val="Hyperlink"/>
                <w:rFonts w:ascii="Calibri" w:hAnsi="Calibri" w:cs="Calibri"/>
                <w:sz w:val="22"/>
              </w:rPr>
              <w:t>Flexible Netzanschlussvereinbarung (fNAV)</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_Toc230947148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3</w:t>
            </w:r>
            <w:r w:rsidRPr="00577EB9">
              <w:rPr>
                <w:rFonts w:ascii="Calibri" w:hAnsi="Calibri" w:cs="Calibri"/>
                <w:webHidden/>
                <w:sz w:val="22"/>
              </w:rPr>
              <w:fldChar w:fldCharType="end"/>
            </w:r>
          </w:hyperlink>
        </w:p>
        <w:p w14:paraId="52582F73" w14:textId="6B3346EF"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49" w:history="1">
            <w:r w:rsidRPr="00577EB9">
              <w:rPr>
                <w:rStyle w:val="Hyperlink"/>
                <w:rFonts w:ascii="Calibri" w:hAnsi="Calibri" w:cs="Calibri"/>
                <w:sz w:val="22"/>
              </w:rPr>
              <w:t>Grundvertrag</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_Toc230947149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3</w:t>
            </w:r>
            <w:r w:rsidRPr="00577EB9">
              <w:rPr>
                <w:rFonts w:ascii="Calibri" w:hAnsi="Calibri" w:cs="Calibri"/>
                <w:webHidden/>
                <w:sz w:val="22"/>
              </w:rPr>
              <w:fldChar w:fldCharType="end"/>
            </w:r>
          </w:hyperlink>
        </w:p>
        <w:p w14:paraId="1C212AF1" w14:textId="76A3B09F"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50" w:history="1">
            <w:r w:rsidRPr="00577EB9">
              <w:rPr>
                <w:rStyle w:val="Hyperlink"/>
                <w:rFonts w:ascii="Calibri" w:hAnsi="Calibri" w:cs="Calibri"/>
                <w:sz w:val="22"/>
              </w:rPr>
              <w:t>Marktstammdatenregister (MaStR)</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_Toc230947150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3</w:t>
            </w:r>
            <w:r w:rsidRPr="00577EB9">
              <w:rPr>
                <w:rFonts w:ascii="Calibri" w:hAnsi="Calibri" w:cs="Calibri"/>
                <w:webHidden/>
                <w:sz w:val="22"/>
              </w:rPr>
              <w:fldChar w:fldCharType="end"/>
            </w:r>
          </w:hyperlink>
        </w:p>
        <w:p w14:paraId="3F792E87" w14:textId="3B65AE6A"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51" w:history="1">
            <w:r w:rsidRPr="00577EB9">
              <w:rPr>
                <w:rStyle w:val="Hyperlink"/>
                <w:rFonts w:ascii="Calibri" w:hAnsi="Calibri" w:cs="Calibri"/>
                <w:sz w:val="22"/>
              </w:rPr>
              <w:t>Messkonzept</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_Toc230947151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3</w:t>
            </w:r>
            <w:r w:rsidRPr="00577EB9">
              <w:rPr>
                <w:rFonts w:ascii="Calibri" w:hAnsi="Calibri" w:cs="Calibri"/>
                <w:webHidden/>
                <w:sz w:val="22"/>
              </w:rPr>
              <w:fldChar w:fldCharType="end"/>
            </w:r>
          </w:hyperlink>
        </w:p>
        <w:p w14:paraId="26FAB5C1" w14:textId="401FAD90"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52" w:history="1">
            <w:r w:rsidRPr="00577EB9">
              <w:rPr>
                <w:rStyle w:val="Hyperlink"/>
                <w:rFonts w:ascii="Calibri" w:hAnsi="Calibri" w:cs="Calibri"/>
                <w:sz w:val="22"/>
              </w:rPr>
              <w:t>Netzausbau</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_Toc230947152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3</w:t>
            </w:r>
            <w:r w:rsidRPr="00577EB9">
              <w:rPr>
                <w:rFonts w:ascii="Calibri" w:hAnsi="Calibri" w:cs="Calibri"/>
                <w:webHidden/>
                <w:sz w:val="22"/>
              </w:rPr>
              <w:fldChar w:fldCharType="end"/>
            </w:r>
          </w:hyperlink>
        </w:p>
        <w:p w14:paraId="7B1B763D" w14:textId="5F02518C"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53" w:history="1">
            <w:r w:rsidRPr="00577EB9">
              <w:rPr>
                <w:rStyle w:val="Hyperlink"/>
                <w:rFonts w:ascii="Calibri" w:hAnsi="Calibri" w:cs="Calibri"/>
                <w:sz w:val="22"/>
              </w:rPr>
              <w:t>Netzanschlussbegehren bzw. -antrag</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_Toc230947153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3</w:t>
            </w:r>
            <w:r w:rsidRPr="00577EB9">
              <w:rPr>
                <w:rFonts w:ascii="Calibri" w:hAnsi="Calibri" w:cs="Calibri"/>
                <w:webHidden/>
                <w:sz w:val="22"/>
              </w:rPr>
              <w:fldChar w:fldCharType="end"/>
            </w:r>
          </w:hyperlink>
        </w:p>
        <w:p w14:paraId="67940D26" w14:textId="3E568A59"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54" w:history="1">
            <w:r w:rsidRPr="00577EB9">
              <w:rPr>
                <w:rStyle w:val="Hyperlink"/>
                <w:rFonts w:ascii="Calibri" w:hAnsi="Calibri" w:cs="Calibri"/>
                <w:sz w:val="22"/>
              </w:rPr>
              <w:t>Netzanschlussverhältnis</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_Toc230947154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4</w:t>
            </w:r>
            <w:r w:rsidRPr="00577EB9">
              <w:rPr>
                <w:rFonts w:ascii="Calibri" w:hAnsi="Calibri" w:cs="Calibri"/>
                <w:webHidden/>
                <w:sz w:val="22"/>
              </w:rPr>
              <w:fldChar w:fldCharType="end"/>
            </w:r>
          </w:hyperlink>
        </w:p>
        <w:p w14:paraId="35C968E9" w14:textId="22A232A0"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55" w:history="1">
            <w:r w:rsidRPr="00577EB9">
              <w:rPr>
                <w:rStyle w:val="Hyperlink"/>
                <w:rFonts w:ascii="Calibri" w:hAnsi="Calibri" w:cs="Calibri"/>
                <w:sz w:val="22"/>
              </w:rPr>
              <w:t>Netz</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_Toc230947155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4</w:t>
            </w:r>
            <w:r w:rsidRPr="00577EB9">
              <w:rPr>
                <w:rFonts w:ascii="Calibri" w:hAnsi="Calibri" w:cs="Calibri"/>
                <w:webHidden/>
                <w:sz w:val="22"/>
              </w:rPr>
              <w:fldChar w:fldCharType="end"/>
            </w:r>
          </w:hyperlink>
        </w:p>
        <w:p w14:paraId="0ACA8106" w14:textId="2825B815"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56" w:history="1">
            <w:r w:rsidRPr="00577EB9">
              <w:rPr>
                <w:rStyle w:val="Hyperlink"/>
                <w:rFonts w:ascii="Calibri" w:hAnsi="Calibri" w:cs="Calibri"/>
                <w:sz w:val="22"/>
              </w:rPr>
              <w:t>Netzbetreiber</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_Toc230947156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4</w:t>
            </w:r>
            <w:r w:rsidRPr="00577EB9">
              <w:rPr>
                <w:rFonts w:ascii="Calibri" w:hAnsi="Calibri" w:cs="Calibri"/>
                <w:webHidden/>
                <w:sz w:val="22"/>
              </w:rPr>
              <w:fldChar w:fldCharType="end"/>
            </w:r>
          </w:hyperlink>
        </w:p>
        <w:p w14:paraId="15C47682" w14:textId="75A86EFD"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57" w:history="1">
            <w:r w:rsidRPr="00577EB9">
              <w:rPr>
                <w:rStyle w:val="Hyperlink"/>
                <w:rFonts w:ascii="Calibri" w:hAnsi="Calibri" w:cs="Calibri"/>
                <w:sz w:val="22"/>
              </w:rPr>
              <w:t>Netzkapazität</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_Toc230947157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4</w:t>
            </w:r>
            <w:r w:rsidRPr="00577EB9">
              <w:rPr>
                <w:rFonts w:ascii="Calibri" w:hAnsi="Calibri" w:cs="Calibri"/>
                <w:webHidden/>
                <w:sz w:val="22"/>
              </w:rPr>
              <w:fldChar w:fldCharType="end"/>
            </w:r>
          </w:hyperlink>
        </w:p>
        <w:p w14:paraId="2D031CF7" w14:textId="554DE679"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58" w:history="1">
            <w:r w:rsidRPr="00577EB9">
              <w:rPr>
                <w:rStyle w:val="Hyperlink"/>
                <w:rFonts w:ascii="Calibri" w:hAnsi="Calibri" w:cs="Calibri"/>
                <w:sz w:val="22"/>
              </w:rPr>
              <w:t>Netzverknüpfungspunkt (NVP)</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_Toc230947158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4</w:t>
            </w:r>
            <w:r w:rsidRPr="00577EB9">
              <w:rPr>
                <w:rFonts w:ascii="Calibri" w:hAnsi="Calibri" w:cs="Calibri"/>
                <w:webHidden/>
                <w:sz w:val="22"/>
              </w:rPr>
              <w:fldChar w:fldCharType="end"/>
            </w:r>
          </w:hyperlink>
        </w:p>
        <w:p w14:paraId="6B7AEAFF" w14:textId="290761DB"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59" w:history="1">
            <w:r w:rsidRPr="00577EB9">
              <w:rPr>
                <w:rStyle w:val="Hyperlink"/>
                <w:rFonts w:ascii="Calibri" w:hAnsi="Calibri" w:cs="Calibri"/>
                <w:sz w:val="22"/>
              </w:rPr>
              <w:t>P</w:t>
            </w:r>
            <w:r w:rsidRPr="00577EB9">
              <w:rPr>
                <w:rStyle w:val="Hyperlink"/>
                <w:rFonts w:ascii="Calibri" w:hAnsi="Calibri" w:cs="Calibri"/>
                <w:sz w:val="22"/>
                <w:vertAlign w:val="subscript"/>
              </w:rPr>
              <w:t>AV,E</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_Toc230947159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4</w:t>
            </w:r>
            <w:r w:rsidRPr="00577EB9">
              <w:rPr>
                <w:rFonts w:ascii="Calibri" w:hAnsi="Calibri" w:cs="Calibri"/>
                <w:webHidden/>
                <w:sz w:val="22"/>
              </w:rPr>
              <w:fldChar w:fldCharType="end"/>
            </w:r>
          </w:hyperlink>
        </w:p>
        <w:p w14:paraId="65962C79" w14:textId="4880999E"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60" w:history="1">
            <w:r w:rsidRPr="00577EB9">
              <w:rPr>
                <w:rStyle w:val="Hyperlink"/>
                <w:rFonts w:ascii="Calibri" w:hAnsi="Calibri" w:cs="Calibri"/>
                <w:sz w:val="22"/>
              </w:rPr>
              <w:t>Redispatch</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_Toc230947160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4</w:t>
            </w:r>
            <w:r w:rsidRPr="00577EB9">
              <w:rPr>
                <w:rFonts w:ascii="Calibri" w:hAnsi="Calibri" w:cs="Calibri"/>
                <w:webHidden/>
                <w:sz w:val="22"/>
              </w:rPr>
              <w:fldChar w:fldCharType="end"/>
            </w:r>
          </w:hyperlink>
        </w:p>
        <w:p w14:paraId="4D351744" w14:textId="685501B3"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61" w:history="1">
            <w:r w:rsidRPr="00577EB9">
              <w:rPr>
                <w:rStyle w:val="Hyperlink"/>
                <w:rFonts w:ascii="Calibri" w:hAnsi="Calibri" w:cs="Calibri"/>
                <w:sz w:val="22"/>
              </w:rPr>
              <w:t>Redispatchausgleich/-entschädigung</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_Toc230947161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4</w:t>
            </w:r>
            <w:r w:rsidRPr="00577EB9">
              <w:rPr>
                <w:rFonts w:ascii="Calibri" w:hAnsi="Calibri" w:cs="Calibri"/>
                <w:webHidden/>
                <w:sz w:val="22"/>
              </w:rPr>
              <w:fldChar w:fldCharType="end"/>
            </w:r>
          </w:hyperlink>
        </w:p>
        <w:p w14:paraId="08CA6878" w14:textId="4CAAC0FE"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62" w:history="1">
            <w:r w:rsidRPr="00577EB9">
              <w:rPr>
                <w:rStyle w:val="Hyperlink"/>
                <w:rFonts w:ascii="Calibri" w:hAnsi="Calibri" w:cs="Calibri"/>
                <w:sz w:val="22"/>
              </w:rPr>
              <w:t>Speicheranlage</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_Toc230947162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5</w:t>
            </w:r>
            <w:r w:rsidRPr="00577EB9">
              <w:rPr>
                <w:rFonts w:ascii="Calibri" w:hAnsi="Calibri" w:cs="Calibri"/>
                <w:webHidden/>
                <w:sz w:val="22"/>
              </w:rPr>
              <w:fldChar w:fldCharType="end"/>
            </w:r>
          </w:hyperlink>
        </w:p>
        <w:p w14:paraId="58167220" w14:textId="10392863"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63" w:history="1">
            <w:r w:rsidRPr="00577EB9">
              <w:rPr>
                <w:rStyle w:val="Hyperlink"/>
                <w:rFonts w:ascii="Calibri" w:hAnsi="Calibri" w:cs="Calibri"/>
                <w:sz w:val="22"/>
              </w:rPr>
              <w:t>Technische Anschlussbedingungen (TAB)</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_Toc230947163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5</w:t>
            </w:r>
            <w:r w:rsidRPr="00577EB9">
              <w:rPr>
                <w:rFonts w:ascii="Calibri" w:hAnsi="Calibri" w:cs="Calibri"/>
                <w:webHidden/>
                <w:sz w:val="22"/>
              </w:rPr>
              <w:fldChar w:fldCharType="end"/>
            </w:r>
          </w:hyperlink>
        </w:p>
        <w:p w14:paraId="702507BE" w14:textId="5332FE55"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64" w:history="1">
            <w:r w:rsidRPr="00577EB9">
              <w:rPr>
                <w:rStyle w:val="Hyperlink"/>
                <w:rFonts w:ascii="Calibri" w:hAnsi="Calibri" w:cs="Calibri"/>
                <w:sz w:val="22"/>
              </w:rPr>
              <w:t>Technische Anschlussregeln (TAR)</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_Toc230947164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5</w:t>
            </w:r>
            <w:r w:rsidRPr="00577EB9">
              <w:rPr>
                <w:rFonts w:ascii="Calibri" w:hAnsi="Calibri" w:cs="Calibri"/>
                <w:webHidden/>
                <w:sz w:val="22"/>
              </w:rPr>
              <w:fldChar w:fldCharType="end"/>
            </w:r>
          </w:hyperlink>
        </w:p>
        <w:p w14:paraId="57A70739" w14:textId="3B7802CF"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65" w:history="1">
            <w:r w:rsidRPr="00577EB9">
              <w:rPr>
                <w:rStyle w:val="Hyperlink"/>
                <w:rFonts w:ascii="Calibri" w:hAnsi="Calibri" w:cs="Calibri"/>
                <w:sz w:val="22"/>
              </w:rPr>
              <w:t>Überbauung</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_Toc230947165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5</w:t>
            </w:r>
            <w:r w:rsidRPr="00577EB9">
              <w:rPr>
                <w:rFonts w:ascii="Calibri" w:hAnsi="Calibri" w:cs="Calibri"/>
                <w:webHidden/>
                <w:sz w:val="22"/>
              </w:rPr>
              <w:fldChar w:fldCharType="end"/>
            </w:r>
          </w:hyperlink>
        </w:p>
        <w:p w14:paraId="3DCCF1A5" w14:textId="438180B0"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66" w:history="1">
            <w:r w:rsidRPr="00577EB9">
              <w:rPr>
                <w:rStyle w:val="Hyperlink"/>
                <w:rFonts w:ascii="Calibri" w:hAnsi="Calibri" w:cs="Calibri"/>
                <w:sz w:val="22"/>
              </w:rPr>
              <w:t>Verfügbare Anschlusskapazität</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_Toc230947166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5</w:t>
            </w:r>
            <w:r w:rsidRPr="00577EB9">
              <w:rPr>
                <w:rFonts w:ascii="Calibri" w:hAnsi="Calibri" w:cs="Calibri"/>
                <w:webHidden/>
                <w:sz w:val="22"/>
              </w:rPr>
              <w:fldChar w:fldCharType="end"/>
            </w:r>
          </w:hyperlink>
        </w:p>
        <w:p w14:paraId="7A5F1BE8" w14:textId="667E1F6E"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67" w:history="1">
            <w:r w:rsidRPr="00577EB9">
              <w:rPr>
                <w:rStyle w:val="Hyperlink"/>
                <w:rFonts w:ascii="Calibri" w:hAnsi="Calibri" w:cs="Calibri"/>
                <w:sz w:val="22"/>
              </w:rPr>
              <w:t>Wirkleistung</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_Toc230947167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5</w:t>
            </w:r>
            <w:r w:rsidRPr="00577EB9">
              <w:rPr>
                <w:rFonts w:ascii="Calibri" w:hAnsi="Calibri" w:cs="Calibri"/>
                <w:webHidden/>
                <w:sz w:val="22"/>
              </w:rPr>
              <w:fldChar w:fldCharType="end"/>
            </w:r>
          </w:hyperlink>
        </w:p>
        <w:p w14:paraId="2DBE92BC" w14:textId="086BAA5A"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68" w:history="1">
            <w:r w:rsidRPr="00577EB9">
              <w:rPr>
                <w:rStyle w:val="Hyperlink"/>
                <w:rFonts w:ascii="Calibri" w:hAnsi="Calibri" w:cs="Calibri"/>
                <w:sz w:val="22"/>
              </w:rPr>
              <w:t>Wirkleistungsbegrenzung</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_Toc230947168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6</w:t>
            </w:r>
            <w:r w:rsidRPr="00577EB9">
              <w:rPr>
                <w:rFonts w:ascii="Calibri" w:hAnsi="Calibri" w:cs="Calibri"/>
                <w:webHidden/>
                <w:sz w:val="22"/>
              </w:rPr>
              <w:fldChar w:fldCharType="end"/>
            </w:r>
          </w:hyperlink>
        </w:p>
        <w:p w14:paraId="03100F17" w14:textId="470904EA"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69" w:history="1">
            <w:r w:rsidRPr="00577EB9">
              <w:rPr>
                <w:rStyle w:val="Hyperlink"/>
                <w:rFonts w:ascii="Calibri" w:hAnsi="Calibri" w:cs="Calibri"/>
                <w:sz w:val="22"/>
              </w:rPr>
              <w:t>Statische Wirkleistungsbegrenzung</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_Toc230947169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6</w:t>
            </w:r>
            <w:r w:rsidRPr="00577EB9">
              <w:rPr>
                <w:rFonts w:ascii="Calibri" w:hAnsi="Calibri" w:cs="Calibri"/>
                <w:webHidden/>
                <w:sz w:val="22"/>
              </w:rPr>
              <w:fldChar w:fldCharType="end"/>
            </w:r>
          </w:hyperlink>
        </w:p>
        <w:p w14:paraId="1A1FA233" w14:textId="00DE0D94"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70" w:history="1">
            <w:r w:rsidRPr="00577EB9">
              <w:rPr>
                <w:rStyle w:val="Hyperlink"/>
                <w:rFonts w:ascii="Calibri" w:hAnsi="Calibri" w:cs="Calibri"/>
                <w:sz w:val="22"/>
              </w:rPr>
              <w:t>Dynamische Wirkleistungsbegrenzung</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_Toc230947170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6</w:t>
            </w:r>
            <w:r w:rsidRPr="00577EB9">
              <w:rPr>
                <w:rFonts w:ascii="Calibri" w:hAnsi="Calibri" w:cs="Calibri"/>
                <w:webHidden/>
                <w:sz w:val="22"/>
              </w:rPr>
              <w:fldChar w:fldCharType="end"/>
            </w:r>
          </w:hyperlink>
        </w:p>
        <w:p w14:paraId="4A9E44E3" w14:textId="76104312" w:rsidR="008344E0" w:rsidRPr="00577EB9" w:rsidRDefault="008344E0">
          <w:pPr>
            <w:pStyle w:val="TOC1"/>
            <w:tabs>
              <w:tab w:val="right" w:leader="dot" w:pos="9062"/>
            </w:tabs>
            <w:rPr>
              <w:rFonts w:ascii="Calibri" w:eastAsiaTheme="minorEastAsia" w:hAnsi="Calibri" w:cs="Calibri"/>
              <w:color w:val="auto"/>
              <w:kern w:val="2"/>
              <w:sz w:val="22"/>
              <w:lang w:eastAsia="de-DE"/>
            </w:rPr>
          </w:pPr>
          <w:hyperlink w:anchor="_Toc230947171" w:history="1">
            <w:r w:rsidRPr="00577EB9">
              <w:rPr>
                <w:rStyle w:val="Hyperlink"/>
                <w:rFonts w:ascii="Calibri" w:hAnsi="Calibri" w:cs="Calibri"/>
                <w:sz w:val="22"/>
              </w:rPr>
              <w:t>Volldynamische Wirkleistungsbegrenzung</w:t>
            </w:r>
            <w:r w:rsidRPr="00577EB9">
              <w:rPr>
                <w:rFonts w:ascii="Calibri" w:hAnsi="Calibri" w:cs="Calibri"/>
                <w:webHidden/>
                <w:sz w:val="22"/>
              </w:rPr>
              <w:tab/>
            </w:r>
            <w:r w:rsidRPr="00577EB9">
              <w:rPr>
                <w:rFonts w:ascii="Calibri" w:hAnsi="Calibri" w:cs="Calibri"/>
                <w:webHidden/>
                <w:sz w:val="22"/>
              </w:rPr>
              <w:fldChar w:fldCharType="begin"/>
            </w:r>
            <w:r w:rsidRPr="00577EB9">
              <w:rPr>
                <w:rFonts w:ascii="Calibri" w:hAnsi="Calibri" w:cs="Calibri"/>
                <w:webHidden/>
                <w:sz w:val="22"/>
              </w:rPr>
              <w:instrText xml:space="preserve"> PAGEREF _Toc230947171 \h </w:instrText>
            </w:r>
            <w:r w:rsidRPr="00577EB9">
              <w:rPr>
                <w:rFonts w:ascii="Calibri" w:hAnsi="Calibri" w:cs="Calibri"/>
                <w:webHidden/>
                <w:sz w:val="22"/>
              </w:rPr>
            </w:r>
            <w:r w:rsidRPr="00577EB9">
              <w:rPr>
                <w:rFonts w:ascii="Calibri" w:hAnsi="Calibri" w:cs="Calibri"/>
                <w:webHidden/>
                <w:sz w:val="22"/>
              </w:rPr>
              <w:fldChar w:fldCharType="separate"/>
            </w:r>
            <w:r w:rsidRPr="00577EB9">
              <w:rPr>
                <w:rFonts w:ascii="Calibri" w:hAnsi="Calibri" w:cs="Calibri"/>
                <w:webHidden/>
                <w:sz w:val="22"/>
              </w:rPr>
              <w:t>6</w:t>
            </w:r>
            <w:r w:rsidRPr="00577EB9">
              <w:rPr>
                <w:rFonts w:ascii="Calibri" w:hAnsi="Calibri" w:cs="Calibri"/>
                <w:webHidden/>
                <w:sz w:val="22"/>
              </w:rPr>
              <w:fldChar w:fldCharType="end"/>
            </w:r>
          </w:hyperlink>
        </w:p>
        <w:p w14:paraId="076F7380" w14:textId="34C59873" w:rsidR="00B3783D" w:rsidRPr="00444B0F" w:rsidRDefault="00B3783D">
          <w:pPr>
            <w:rPr>
              <w:rFonts w:ascii="Calibri" w:hAnsi="Calibri" w:cs="Calibri"/>
            </w:rPr>
          </w:pPr>
          <w:r w:rsidRPr="00444B0F">
            <w:rPr>
              <w:rFonts w:ascii="Calibri" w:hAnsi="Calibri" w:cs="Calibri"/>
              <w:sz w:val="22"/>
            </w:rPr>
            <w:fldChar w:fldCharType="end"/>
          </w:r>
        </w:p>
      </w:sdtContent>
    </w:sdt>
    <w:p w14:paraId="083793B5" w14:textId="7FCE617E" w:rsidR="00C007AD" w:rsidRPr="00444B0F" w:rsidRDefault="00C007AD" w:rsidP="00C007AD">
      <w:pPr>
        <w:rPr>
          <w:rFonts w:ascii="Calibri" w:hAnsi="Calibri" w:cs="Calibri"/>
          <w:noProof/>
        </w:rPr>
      </w:pPr>
    </w:p>
    <w:p w14:paraId="23C0EE7F" w14:textId="21BDC4E7" w:rsidR="00C007AD" w:rsidRPr="00FA373F" w:rsidRDefault="00C007AD" w:rsidP="00C007AD">
      <w:pPr>
        <w:pStyle w:val="Heading1"/>
        <w:spacing w:before="360" w:after="80" w:line="240" w:lineRule="auto"/>
        <w:jc w:val="center"/>
        <w:rPr>
          <w:rFonts w:ascii="Calibri" w:hAnsi="Calibri" w:cs="Calibri"/>
          <w:b/>
          <w:color w:val="auto"/>
          <w:kern w:val="2"/>
          <w:sz w:val="24"/>
          <w:szCs w:val="24"/>
        </w:rPr>
      </w:pPr>
      <w:bookmarkStart w:id="1" w:name="_Toc230947140"/>
      <w:r w:rsidRPr="00FA373F">
        <w:rPr>
          <w:rFonts w:ascii="Calibri" w:hAnsi="Calibri" w:cs="Calibri"/>
          <w:b/>
          <w:color w:val="auto"/>
          <w:kern w:val="2"/>
          <w:sz w:val="24"/>
          <w:szCs w:val="24"/>
        </w:rPr>
        <w:t>Anlage</w:t>
      </w:r>
      <w:bookmarkEnd w:id="0"/>
      <w:bookmarkEnd w:id="1"/>
      <w:r w:rsidRPr="00FA373F">
        <w:rPr>
          <w:rFonts w:ascii="Calibri" w:hAnsi="Calibri" w:cs="Calibri"/>
          <w:b/>
          <w:color w:val="auto"/>
          <w:kern w:val="2"/>
          <w:sz w:val="24"/>
          <w:szCs w:val="24"/>
        </w:rPr>
        <w:t xml:space="preserve"> </w:t>
      </w:r>
    </w:p>
    <w:p w14:paraId="7C91C50F" w14:textId="48744100" w:rsidR="00C007AD" w:rsidRPr="007E518B" w:rsidRDefault="00C007AD" w:rsidP="00C007AD">
      <w:pPr>
        <w:rPr>
          <w:rFonts w:ascii="Calibri" w:hAnsi="Calibri" w:cs="Calibri"/>
          <w:sz w:val="22"/>
        </w:rPr>
      </w:pPr>
      <w:r w:rsidRPr="007E518B">
        <w:rPr>
          <w:rFonts w:ascii="Calibri" w:hAnsi="Calibri" w:cs="Calibri"/>
          <w:sz w:val="22"/>
        </w:rPr>
        <w:t xml:space="preserve">Jede Einrichtung zur Erzeugung von Strom aus erneuerbaren Energien oder aus Grubengas, wobei im Fall von Solaranlagen jedes Modul eine eigenständige Anlage ist. Als Anlage gelten auch Einrichtungen, die zwischengespeicherte Energie, die ausschließlich aus erneuerbaren Energien oder Grubengas stammt, aufnehmen und in elektrische Energie umwandeln, sogenannte Grünstromspeicher, vgl. § 3 Nr. 1 Erneuerbare-Energien-Gesetz (EEG) 2023. </w:t>
      </w:r>
    </w:p>
    <w:p w14:paraId="7F41C8EE"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2" w:name="_Toc230947141"/>
      <w:r w:rsidRPr="00444B0F">
        <w:rPr>
          <w:rFonts w:ascii="Calibri" w:hAnsi="Calibri" w:cs="Calibri"/>
          <w:b/>
          <w:color w:val="auto"/>
          <w:kern w:val="2"/>
          <w:sz w:val="24"/>
          <w:szCs w:val="40"/>
        </w:rPr>
        <w:t>Anlagenbetreiber</w:t>
      </w:r>
      <w:bookmarkEnd w:id="2"/>
    </w:p>
    <w:p w14:paraId="19C655AA" w14:textId="77777777" w:rsidR="00C007AD" w:rsidRPr="00B91878" w:rsidRDefault="00C007AD" w:rsidP="00C007AD">
      <w:pPr>
        <w:rPr>
          <w:rFonts w:ascii="Calibri" w:hAnsi="Calibri" w:cs="Calibri"/>
          <w:sz w:val="22"/>
        </w:rPr>
      </w:pPr>
      <w:r w:rsidRPr="00B91878">
        <w:rPr>
          <w:rFonts w:ascii="Calibri" w:hAnsi="Calibri" w:cs="Calibri"/>
          <w:sz w:val="22"/>
        </w:rPr>
        <w:t>Natürliche oder juristische Personen, die unabhängig vom Eigentum die Anlagen für die Erzeugung von Strom aus erneuerbaren Energien oder aus Grubengas nutzen oder Grünstromspeicher betreiben, vgl. § 3 Nr. 2 Erneuerbare-Energien-Gesetz (EEG) 2023.</w:t>
      </w:r>
    </w:p>
    <w:p w14:paraId="68D11054"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3" w:name="_Toc230947142"/>
      <w:r w:rsidRPr="00444B0F">
        <w:rPr>
          <w:rFonts w:ascii="Calibri" w:hAnsi="Calibri" w:cs="Calibri"/>
          <w:b/>
          <w:color w:val="auto"/>
          <w:kern w:val="2"/>
          <w:sz w:val="24"/>
          <w:szCs w:val="40"/>
        </w:rPr>
        <w:t>Anlagenzertifikat</w:t>
      </w:r>
      <w:bookmarkEnd w:id="3"/>
    </w:p>
    <w:p w14:paraId="376C61D9" w14:textId="5BF45C31" w:rsidR="00C007AD" w:rsidRPr="00B91878" w:rsidRDefault="00C007AD" w:rsidP="00C007AD">
      <w:pPr>
        <w:rPr>
          <w:rFonts w:ascii="Calibri" w:hAnsi="Calibri" w:cs="Calibri"/>
          <w:sz w:val="22"/>
        </w:rPr>
      </w:pPr>
      <w:r w:rsidRPr="00B91878">
        <w:rPr>
          <w:rFonts w:ascii="Calibri" w:hAnsi="Calibri" w:cs="Calibri"/>
          <w:sz w:val="22"/>
        </w:rPr>
        <w:t xml:space="preserve">Gemäß </w:t>
      </w:r>
      <w:r w:rsidR="00C724A1">
        <w:rPr>
          <w:rFonts w:ascii="Calibri" w:hAnsi="Calibri" w:cs="Calibri"/>
          <w:sz w:val="22"/>
        </w:rPr>
        <w:t>Elektrotechnische-Eigenschaften-Nachweis</w:t>
      </w:r>
      <w:r w:rsidR="00333710">
        <w:rPr>
          <w:rFonts w:ascii="Calibri" w:hAnsi="Calibri" w:cs="Calibri"/>
          <w:sz w:val="22"/>
        </w:rPr>
        <w:t>-V</w:t>
      </w:r>
      <w:r w:rsidR="006E2276">
        <w:rPr>
          <w:rFonts w:ascii="Calibri" w:hAnsi="Calibri" w:cs="Calibri"/>
          <w:sz w:val="22"/>
        </w:rPr>
        <w:t>erordnung</w:t>
      </w:r>
      <w:r w:rsidR="00333710">
        <w:rPr>
          <w:rFonts w:ascii="Calibri" w:hAnsi="Calibri" w:cs="Calibri"/>
          <w:sz w:val="22"/>
        </w:rPr>
        <w:t xml:space="preserve"> (</w:t>
      </w:r>
      <w:r w:rsidRPr="00B91878">
        <w:rPr>
          <w:rFonts w:ascii="Calibri" w:hAnsi="Calibri" w:cs="Calibri"/>
          <w:sz w:val="22"/>
        </w:rPr>
        <w:t>NELEV</w:t>
      </w:r>
      <w:r w:rsidR="00333710">
        <w:rPr>
          <w:rFonts w:ascii="Calibri" w:hAnsi="Calibri" w:cs="Calibri"/>
          <w:sz w:val="22"/>
        </w:rPr>
        <w:t>)</w:t>
      </w:r>
      <w:r w:rsidRPr="00B91878">
        <w:rPr>
          <w:rFonts w:ascii="Calibri" w:hAnsi="Calibri" w:cs="Calibri"/>
          <w:sz w:val="22"/>
        </w:rPr>
        <w:t xml:space="preserve"> ausgestelltes Zertifikat, das die Konformität der geplanten Erzeugungsanlage mit den Anforderungen der NELEV sowie mit den ergänzenden Anforderungen des Netzbetreibers (soweit vorhanden) ausweist. </w:t>
      </w:r>
    </w:p>
    <w:p w14:paraId="281B223F" w14:textId="66B28F2B" w:rsidR="77546C30" w:rsidRPr="00444B0F" w:rsidRDefault="77546C30" w:rsidP="004E2A51">
      <w:pPr>
        <w:pStyle w:val="Heading1"/>
        <w:spacing w:before="360" w:after="80" w:line="240" w:lineRule="auto"/>
        <w:jc w:val="center"/>
        <w:rPr>
          <w:rFonts w:ascii="Calibri" w:hAnsi="Calibri" w:cs="Calibri"/>
          <w:b/>
        </w:rPr>
      </w:pPr>
      <w:bookmarkStart w:id="4" w:name="_Toc230947143"/>
      <w:r w:rsidRPr="00444B0F">
        <w:rPr>
          <w:rFonts w:ascii="Calibri" w:hAnsi="Calibri" w:cs="Calibri"/>
          <w:b/>
          <w:color w:val="auto"/>
          <w:kern w:val="2"/>
          <w:sz w:val="24"/>
          <w:szCs w:val="40"/>
        </w:rPr>
        <w:t>Anschlussnehmer</w:t>
      </w:r>
      <w:bookmarkEnd w:id="4"/>
    </w:p>
    <w:p w14:paraId="1D2E2874" w14:textId="2A57347E" w:rsidR="00C007AD" w:rsidRPr="00B91878" w:rsidRDefault="00C007AD" w:rsidP="00C007AD">
      <w:pPr>
        <w:rPr>
          <w:rFonts w:ascii="Calibri" w:hAnsi="Calibri" w:cs="Calibri"/>
          <w:sz w:val="22"/>
        </w:rPr>
      </w:pPr>
      <w:r w:rsidRPr="00B91878">
        <w:rPr>
          <w:rFonts w:ascii="Calibri" w:hAnsi="Calibri" w:cs="Calibri"/>
          <w:sz w:val="22"/>
        </w:rPr>
        <w:t xml:space="preserve">Natürliche oder juristische Person, in deren Auftrag eine Anlage an das Netz für die allgemeine Versorgung angeschlossen wird. Das zwischen dem Anschlussnehmer und dem Netzbetreiber bestehende Netzanschlussverhältnis umfasst den Anschluss der </w:t>
      </w:r>
      <w:r w:rsidR="00E4048F">
        <w:rPr>
          <w:rFonts w:ascii="Calibri" w:hAnsi="Calibri" w:cs="Calibri"/>
          <w:sz w:val="22"/>
        </w:rPr>
        <w:t>Erneuerbaren-Energien Anlage</w:t>
      </w:r>
      <w:r w:rsidR="00EE7D2C">
        <w:rPr>
          <w:rFonts w:ascii="Calibri" w:hAnsi="Calibri" w:cs="Calibri"/>
          <w:sz w:val="22"/>
        </w:rPr>
        <w:t xml:space="preserve"> (</w:t>
      </w:r>
      <w:r w:rsidRPr="00B91878">
        <w:rPr>
          <w:rFonts w:ascii="Calibri" w:hAnsi="Calibri" w:cs="Calibri"/>
          <w:sz w:val="22"/>
        </w:rPr>
        <w:t>EE-Anlage</w:t>
      </w:r>
      <w:r w:rsidR="00EE7D2C">
        <w:rPr>
          <w:rFonts w:ascii="Calibri" w:hAnsi="Calibri" w:cs="Calibri"/>
          <w:sz w:val="22"/>
        </w:rPr>
        <w:t>)</w:t>
      </w:r>
      <w:r w:rsidRPr="00B91878">
        <w:rPr>
          <w:rFonts w:ascii="Calibri" w:hAnsi="Calibri" w:cs="Calibri"/>
          <w:sz w:val="22"/>
        </w:rPr>
        <w:t xml:space="preserve"> über den Netzanschluss. Im Fall des zweiseitigen Grundvertrags ist der Anschlussnehmer der Anlagenbetreiber.</w:t>
      </w:r>
    </w:p>
    <w:p w14:paraId="0ED2A004"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5" w:name="_Toc230947144"/>
      <w:r w:rsidRPr="00444B0F">
        <w:rPr>
          <w:rFonts w:ascii="Calibri" w:hAnsi="Calibri" w:cs="Calibri"/>
          <w:b/>
          <w:color w:val="auto"/>
          <w:kern w:val="2"/>
          <w:sz w:val="24"/>
          <w:szCs w:val="40"/>
        </w:rPr>
        <w:t>Anschlussnutzer (AN)</w:t>
      </w:r>
      <w:bookmarkEnd w:id="5"/>
    </w:p>
    <w:p w14:paraId="415183EF" w14:textId="158B7E29" w:rsidR="00C007AD" w:rsidRPr="00B91878" w:rsidRDefault="00C007AD" w:rsidP="00C007AD">
      <w:pPr>
        <w:rPr>
          <w:rFonts w:ascii="Calibri" w:hAnsi="Calibri" w:cs="Calibri"/>
          <w:sz w:val="22"/>
        </w:rPr>
      </w:pPr>
      <w:r w:rsidRPr="00B91878">
        <w:rPr>
          <w:rFonts w:ascii="Calibri" w:hAnsi="Calibri" w:cs="Calibri"/>
          <w:sz w:val="22"/>
        </w:rPr>
        <w:t>Natürliche oder juristische Person, die im Rahmen eines Anschlussnutzungsverhältnisses einen Anschluss an das Netz für die allgemeine Versorgung zur Einspeisung und/oder Entnahme von Elektrizität nutzt (Definition in Anlehnung an § 1 Abs. 3 Niederspannungsanschlussverordnung (NAV)).</w:t>
      </w:r>
    </w:p>
    <w:p w14:paraId="6F3F306D"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6" w:name="_Toc230947145"/>
      <w:r w:rsidRPr="00444B0F">
        <w:rPr>
          <w:rFonts w:ascii="Calibri" w:hAnsi="Calibri" w:cs="Calibri"/>
          <w:b/>
          <w:color w:val="auto"/>
          <w:kern w:val="2"/>
          <w:sz w:val="24"/>
          <w:szCs w:val="40"/>
        </w:rPr>
        <w:t>Betreiber einer technischen Ressource (BTR)</w:t>
      </w:r>
      <w:bookmarkEnd w:id="6"/>
    </w:p>
    <w:p w14:paraId="6631C62C" w14:textId="735928BC" w:rsidR="00C007AD" w:rsidRPr="00B91878" w:rsidRDefault="00C007AD" w:rsidP="00C007AD">
      <w:pPr>
        <w:rPr>
          <w:rFonts w:ascii="Calibri" w:hAnsi="Calibri" w:cs="Calibri"/>
          <w:sz w:val="22"/>
        </w:rPr>
      </w:pPr>
      <w:r w:rsidRPr="00B91878">
        <w:rPr>
          <w:rFonts w:ascii="Calibri" w:hAnsi="Calibri" w:cs="Calibri"/>
          <w:sz w:val="22"/>
        </w:rPr>
        <w:t>Der BTR ist für den Betrieb einer Technischen Ressource verantwortlich. Dies kann im Redispatch</w:t>
      </w:r>
      <w:r w:rsidR="006B2C48">
        <w:rPr>
          <w:rFonts w:ascii="Calibri" w:hAnsi="Calibri" w:cs="Calibri"/>
          <w:sz w:val="22"/>
        </w:rPr>
        <w:t>-</w:t>
      </w:r>
      <w:r w:rsidRPr="00B91878">
        <w:rPr>
          <w:rFonts w:ascii="Calibri" w:hAnsi="Calibri" w:cs="Calibri"/>
          <w:sz w:val="22"/>
        </w:rPr>
        <w:t>prozess die Übermittlung von Echtzeitdaten oder meteorologischen Daten für die Ermittlung der zu bilanzierenden Energiemenge bzw. Ausfallarbeit umfassen.</w:t>
      </w:r>
    </w:p>
    <w:p w14:paraId="1E8C7A80"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7" w:name="_Toc230947146"/>
      <w:r w:rsidRPr="00444B0F">
        <w:rPr>
          <w:rFonts w:ascii="Calibri" w:hAnsi="Calibri" w:cs="Calibri"/>
          <w:b/>
          <w:color w:val="auto"/>
          <w:kern w:val="2"/>
          <w:sz w:val="24"/>
          <w:szCs w:val="40"/>
        </w:rPr>
        <w:t>Cable Pooling</w:t>
      </w:r>
      <w:bookmarkEnd w:id="7"/>
      <w:r w:rsidRPr="00444B0F">
        <w:rPr>
          <w:rFonts w:ascii="Calibri" w:hAnsi="Calibri" w:cs="Calibri"/>
          <w:b/>
          <w:color w:val="auto"/>
          <w:kern w:val="2"/>
          <w:sz w:val="24"/>
          <w:szCs w:val="40"/>
        </w:rPr>
        <w:t xml:space="preserve"> </w:t>
      </w:r>
    </w:p>
    <w:p w14:paraId="0E44454A" w14:textId="77777777" w:rsidR="00C007AD" w:rsidRPr="00B91878" w:rsidRDefault="00C007AD" w:rsidP="00C007AD">
      <w:pPr>
        <w:rPr>
          <w:rFonts w:ascii="Calibri" w:hAnsi="Calibri" w:cs="Calibri"/>
          <w:sz w:val="22"/>
        </w:rPr>
      </w:pPr>
      <w:r w:rsidRPr="00B91878">
        <w:rPr>
          <w:rFonts w:ascii="Calibri" w:hAnsi="Calibri" w:cs="Calibri"/>
          <w:sz w:val="22"/>
        </w:rPr>
        <w:t>Gemeinschaftliche Nutzung eines Netzverknüpfungspunktes, einschließlich der Betriebsmittel, durch unterschiedliche Anlagentypen (auch mit verschiedenen erneuerbaren Energiequellen sowie Speicheranlagen) und/oder Anlagenbetreiber (in Anlehnung an BT-Drs. 20/14235 zu § 8a EEG, S. 72). Cable Pooling ist mit oder ohne Überbauung möglich.</w:t>
      </w:r>
    </w:p>
    <w:p w14:paraId="6C22D19E"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8" w:name="_Toc230947147"/>
      <w:r w:rsidRPr="00444B0F">
        <w:rPr>
          <w:rFonts w:ascii="Calibri" w:hAnsi="Calibri" w:cs="Calibri"/>
          <w:b/>
          <w:color w:val="auto"/>
          <w:kern w:val="2"/>
          <w:sz w:val="24"/>
          <w:szCs w:val="40"/>
        </w:rPr>
        <w:t>Direktvermarktung</w:t>
      </w:r>
      <w:bookmarkEnd w:id="8"/>
    </w:p>
    <w:p w14:paraId="0ED07AE9" w14:textId="77777777" w:rsidR="00C007AD" w:rsidRPr="00B91878" w:rsidRDefault="00C007AD" w:rsidP="00C007AD">
      <w:pPr>
        <w:rPr>
          <w:rFonts w:ascii="Calibri" w:hAnsi="Calibri" w:cs="Calibri"/>
          <w:sz w:val="22"/>
        </w:rPr>
      </w:pPr>
      <w:r w:rsidRPr="00B91878">
        <w:rPr>
          <w:rFonts w:ascii="Calibri" w:hAnsi="Calibri" w:cs="Calibri"/>
          <w:sz w:val="22"/>
        </w:rPr>
        <w:t>Die Veräußerung von Strom aus erneuerbaren Energien oder aus Grubengas an Dritte, es sei denn, der Strom wird in unmittelbarer räumlicher Nähe zur Anlage verbraucht und nicht durch ein Netz durchgeleitet, vgl. § 3 Nr. 16 Erneuerbare-Energien-Gesetz (EEG) 2023.</w:t>
      </w:r>
    </w:p>
    <w:p w14:paraId="4ADE0AFD"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9" w:name="_Toc230947148"/>
      <w:r w:rsidRPr="00444B0F">
        <w:rPr>
          <w:rFonts w:ascii="Calibri" w:hAnsi="Calibri" w:cs="Calibri"/>
          <w:b/>
          <w:color w:val="auto"/>
          <w:kern w:val="2"/>
          <w:sz w:val="24"/>
          <w:szCs w:val="40"/>
        </w:rPr>
        <w:t>Flexible Netzanschlussvereinbarung (fNAV)</w:t>
      </w:r>
      <w:bookmarkEnd w:id="9"/>
      <w:r w:rsidRPr="00444B0F">
        <w:rPr>
          <w:rFonts w:ascii="Calibri" w:hAnsi="Calibri" w:cs="Calibri"/>
          <w:b/>
          <w:color w:val="auto"/>
          <w:kern w:val="2"/>
          <w:sz w:val="24"/>
          <w:szCs w:val="40"/>
        </w:rPr>
        <w:t xml:space="preserve"> </w:t>
      </w:r>
    </w:p>
    <w:p w14:paraId="43585F15" w14:textId="77777777" w:rsidR="00C007AD" w:rsidRPr="00B91878" w:rsidRDefault="00C007AD" w:rsidP="00C007AD">
      <w:pPr>
        <w:rPr>
          <w:rFonts w:ascii="Calibri" w:hAnsi="Calibri" w:cs="Calibri"/>
          <w:sz w:val="22"/>
        </w:rPr>
      </w:pPr>
      <w:r w:rsidRPr="00B91878">
        <w:rPr>
          <w:rFonts w:ascii="Calibri" w:hAnsi="Calibri" w:cs="Calibri"/>
          <w:sz w:val="22"/>
        </w:rPr>
        <w:t xml:space="preserve">Der Begriff „flexible Netzanschlussvereinbarung“ ist in § 8a Abs. 1 Satz 1 Erneuerbare-Energien-Gesetz (EEG) 2023 legal definiert als anschlussseitige Begrenzung der maximalen Wirkleistungseinspeisung in das Netz [für die allgemeine Versorgung, vgl. § 3 Nr. 35 EEG 2023] zwischen Netzbetreiber und Anlagenbetreiber. </w:t>
      </w:r>
    </w:p>
    <w:p w14:paraId="304473EF" w14:textId="3C7D7141" w:rsidR="00C007AD" w:rsidRPr="00B91878" w:rsidRDefault="00C007AD" w:rsidP="00C007AD">
      <w:pPr>
        <w:rPr>
          <w:rFonts w:ascii="Calibri" w:hAnsi="Calibri" w:cs="Calibri"/>
          <w:sz w:val="22"/>
        </w:rPr>
      </w:pPr>
      <w:r w:rsidRPr="00B91878">
        <w:rPr>
          <w:rFonts w:ascii="Calibri" w:hAnsi="Calibri" w:cs="Calibri"/>
          <w:sz w:val="22"/>
        </w:rPr>
        <w:t>Im Rahmen des Mustervertrags wird unter „flexibler Netzanschlussvereinbarung“ die Vereinbarung zwischen Netzbetreiber und Anschlussnehmer/Anlagenbetreiber zur Begrenzung der Wirkleistung (P</w:t>
      </w:r>
      <w:r w:rsidRPr="00F002AA">
        <w:rPr>
          <w:rFonts w:ascii="Calibri" w:hAnsi="Calibri" w:cs="Calibri"/>
          <w:sz w:val="22"/>
          <w:vertAlign w:val="subscript"/>
        </w:rPr>
        <w:t>AV,E</w:t>
      </w:r>
      <w:r w:rsidRPr="00B91878">
        <w:rPr>
          <w:rFonts w:ascii="Calibri" w:hAnsi="Calibri" w:cs="Calibri"/>
          <w:sz w:val="22"/>
        </w:rPr>
        <w:t>-Vereinbarung) von EE-Anlagen verstanden. Die Wirkleistungsbegrenzung kann hierbei statisch, dynamisch, volldynamisch sowie dauerhaft oder temporär erfolgen.</w:t>
      </w:r>
    </w:p>
    <w:p w14:paraId="4D20605B"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10" w:name="_Toc230947149"/>
      <w:r w:rsidRPr="00444B0F">
        <w:rPr>
          <w:rFonts w:ascii="Calibri" w:hAnsi="Calibri" w:cs="Calibri"/>
          <w:b/>
          <w:color w:val="auto"/>
          <w:kern w:val="2"/>
          <w:sz w:val="24"/>
          <w:szCs w:val="40"/>
        </w:rPr>
        <w:t>Grundvertrag</w:t>
      </w:r>
      <w:bookmarkEnd w:id="10"/>
      <w:r w:rsidRPr="00444B0F">
        <w:rPr>
          <w:rFonts w:ascii="Calibri" w:hAnsi="Calibri" w:cs="Calibri"/>
          <w:b/>
          <w:color w:val="auto"/>
          <w:kern w:val="2"/>
          <w:sz w:val="24"/>
          <w:szCs w:val="40"/>
        </w:rPr>
        <w:t xml:space="preserve"> </w:t>
      </w:r>
    </w:p>
    <w:p w14:paraId="6E1D564D" w14:textId="77777777" w:rsidR="00C007AD" w:rsidRPr="00B91878" w:rsidRDefault="00C007AD" w:rsidP="00C007AD">
      <w:pPr>
        <w:rPr>
          <w:rFonts w:ascii="Calibri" w:hAnsi="Calibri" w:cs="Calibri"/>
          <w:sz w:val="22"/>
        </w:rPr>
      </w:pPr>
      <w:r w:rsidRPr="00B91878">
        <w:rPr>
          <w:rFonts w:ascii="Calibri" w:hAnsi="Calibri" w:cs="Calibri"/>
          <w:sz w:val="22"/>
        </w:rPr>
        <w:t xml:space="preserve">Unterschieden wird zwischen dem zweiseitigen und dem mehrseitigen Grundvertrag. Bei dem zweiseitigen Grundvertrag sind die Vertragspartner auf jeder Seite jeweils nur eine juristische /natürliche Person und der Netzbetreiber ist eine der Vertragsparteien als Konstante. Bei dem mehrseitigen Grundvertrag hingegen können die Vertragspartner des Netzbetreibers mehrere Personen sein. </w:t>
      </w:r>
    </w:p>
    <w:p w14:paraId="7684C09B"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11" w:name="_Toc230947150"/>
      <w:r w:rsidRPr="00444B0F">
        <w:rPr>
          <w:rFonts w:ascii="Calibri" w:hAnsi="Calibri" w:cs="Calibri"/>
          <w:b/>
          <w:color w:val="auto"/>
          <w:kern w:val="2"/>
          <w:sz w:val="24"/>
          <w:szCs w:val="40"/>
        </w:rPr>
        <w:t>Marktstammdatenregister (MaStR)</w:t>
      </w:r>
      <w:bookmarkEnd w:id="11"/>
    </w:p>
    <w:p w14:paraId="5DDDE53B" w14:textId="6ECF293F" w:rsidR="00C007AD" w:rsidRPr="00B91878" w:rsidRDefault="00C007AD" w:rsidP="00C007AD">
      <w:pPr>
        <w:rPr>
          <w:rFonts w:ascii="Calibri" w:hAnsi="Calibri" w:cs="Calibri"/>
          <w:sz w:val="22"/>
        </w:rPr>
      </w:pPr>
      <w:r w:rsidRPr="00B91878">
        <w:rPr>
          <w:rFonts w:ascii="Calibri" w:hAnsi="Calibri" w:cs="Calibri"/>
          <w:sz w:val="22"/>
        </w:rPr>
        <w:t>Das Marktstammdatenregister eine von der Bundesnetzagentur geführte Online-Datenbank, in der alle Stromanlagen in Deutschland erfasst werden, abrufbar unter: https://www.marktstammdatenregister.de/MaStR/. Die MaStR-Nummer ist eine eindeutige Identifikationsnummer, die im MaStR u.a. für Marktakteure, Marktrollen, Einheiten und Gruppierungsobjekte vergeben wird.</w:t>
      </w:r>
    </w:p>
    <w:p w14:paraId="24AFEA11"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12" w:name="_Toc230947151"/>
      <w:r w:rsidRPr="00444B0F">
        <w:rPr>
          <w:rFonts w:ascii="Calibri" w:hAnsi="Calibri" w:cs="Calibri"/>
          <w:b/>
          <w:color w:val="auto"/>
          <w:kern w:val="2"/>
          <w:sz w:val="24"/>
          <w:szCs w:val="40"/>
        </w:rPr>
        <w:t>Messkonzept</w:t>
      </w:r>
      <w:bookmarkEnd w:id="12"/>
      <w:r w:rsidRPr="00444B0F">
        <w:rPr>
          <w:rFonts w:ascii="Calibri" w:hAnsi="Calibri" w:cs="Calibri"/>
          <w:b/>
          <w:color w:val="auto"/>
          <w:kern w:val="2"/>
          <w:sz w:val="24"/>
          <w:szCs w:val="40"/>
        </w:rPr>
        <w:t xml:space="preserve"> </w:t>
      </w:r>
    </w:p>
    <w:p w14:paraId="0BB35BA8" w14:textId="5D3A1069" w:rsidR="00C007AD" w:rsidRPr="00B91878" w:rsidRDefault="00C007AD" w:rsidP="00C007AD">
      <w:pPr>
        <w:rPr>
          <w:rFonts w:ascii="Calibri" w:hAnsi="Calibri" w:cs="Calibri"/>
          <w:sz w:val="22"/>
        </w:rPr>
      </w:pPr>
      <w:r w:rsidRPr="00B91878">
        <w:rPr>
          <w:rFonts w:ascii="Calibri" w:hAnsi="Calibri" w:cs="Calibri"/>
          <w:sz w:val="22"/>
        </w:rPr>
        <w:t>Das Messkonzept ist die Grundlage für die Ermittlung der abrechnungs- und bilanzierungsrelevanten Energieflüsse nach dem Netzanschluss kundeneigener elektrischer Anlagen. In einem Messkonzept wird festgehalten, wie die elektrische Energie fließt, an welcher Stelle welche Messung durch welche Zähler erfolgt und durch welche Messungen abrechnungs- und bilanzierungsrelevante Mengen abgegrenzt werden.</w:t>
      </w:r>
    </w:p>
    <w:p w14:paraId="7ACFE876"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13" w:name="_Toc230947152"/>
      <w:r w:rsidRPr="00444B0F">
        <w:rPr>
          <w:rFonts w:ascii="Calibri" w:hAnsi="Calibri" w:cs="Calibri"/>
          <w:b/>
          <w:color w:val="auto"/>
          <w:kern w:val="2"/>
          <w:sz w:val="24"/>
          <w:szCs w:val="40"/>
        </w:rPr>
        <w:t>Netzausbau</w:t>
      </w:r>
      <w:bookmarkEnd w:id="13"/>
      <w:r w:rsidRPr="00444B0F">
        <w:rPr>
          <w:rFonts w:ascii="Calibri" w:hAnsi="Calibri" w:cs="Calibri"/>
          <w:b/>
          <w:color w:val="auto"/>
          <w:kern w:val="2"/>
          <w:sz w:val="24"/>
          <w:szCs w:val="40"/>
        </w:rPr>
        <w:t xml:space="preserve"> </w:t>
      </w:r>
    </w:p>
    <w:p w14:paraId="1515EC0F" w14:textId="1C6E5305" w:rsidR="00C007AD" w:rsidRPr="00CD6406" w:rsidRDefault="00C007AD" w:rsidP="00C007AD">
      <w:pPr>
        <w:rPr>
          <w:rFonts w:ascii="Calibri" w:hAnsi="Calibri" w:cs="Calibri"/>
          <w:sz w:val="22"/>
        </w:rPr>
      </w:pPr>
      <w:r w:rsidRPr="00CD6406">
        <w:rPr>
          <w:rFonts w:ascii="Calibri" w:hAnsi="Calibri" w:cs="Calibri"/>
          <w:sz w:val="22"/>
        </w:rPr>
        <w:t xml:space="preserve">Der Netzausbau umfasst diejenigen baulichen Maßnahmen des Netzbetreibers, die in die Netzstruktur eingreifen oder zum Zubau von Leitungskapazitäten führen. Nach § 12 Abs. 1 Erneuerbare-Energien-Gesetz (EEG) 2023 müssen Netzbetreiber vorbehaltlich § 12 Abs. 3 EEG 2023 auf Verlangen der Einspeisewilligen unverzüglich ihre Netze entsprechend dem Stand der Technik ausbauen, optimieren und verstärken zur Sicherstellung der Abnahme, Übertragung und Verteilung des Stroms aus erneuerbaren Energien. Auch wenn die Abnahme des Stroms erst durch den Netzausbau möglich wird, besteht gem. § 8 Abs. 4 EEG die Pflicht zum Netzanschluss. </w:t>
      </w:r>
    </w:p>
    <w:p w14:paraId="050DB23A"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14" w:name="_Toc230947153"/>
      <w:r w:rsidRPr="00444B0F">
        <w:rPr>
          <w:rFonts w:ascii="Calibri" w:hAnsi="Calibri" w:cs="Calibri"/>
          <w:b/>
          <w:color w:val="auto"/>
          <w:kern w:val="2"/>
          <w:sz w:val="24"/>
          <w:szCs w:val="40"/>
        </w:rPr>
        <w:t>Netzanschlussbegehren bzw. -antrag</w:t>
      </w:r>
      <w:bookmarkEnd w:id="14"/>
    </w:p>
    <w:p w14:paraId="797B0613" w14:textId="4F73A77B" w:rsidR="00C007AD" w:rsidRPr="00CD6406" w:rsidRDefault="00C007AD" w:rsidP="00C007AD">
      <w:pPr>
        <w:rPr>
          <w:rFonts w:ascii="Calibri" w:hAnsi="Calibri" w:cs="Calibri"/>
          <w:sz w:val="22"/>
        </w:rPr>
      </w:pPr>
      <w:r w:rsidRPr="00CD6406">
        <w:rPr>
          <w:rFonts w:ascii="Calibri" w:hAnsi="Calibri" w:cs="Calibri"/>
          <w:sz w:val="22"/>
        </w:rPr>
        <w:t>Antrag auf Anschluss von EE-Anlagen an das Netz eines Netzbetreibers. Ein Netzanschlussbegehren muss mindestens den konkreten Standort, die erzeugungsseitig zu installierende Leistung, die Person des Anlagenbetreibers sowie bei Erzeugungsanlagen den Energieträger beinhalten und kann ohne Einbindung eines eingetragenen Installateurs direkt beim Netzbetreiber gestellt werden (Bundesnetzagentur, https://www.bundesnetzagentur.de/DE/Fachthemen/ElektrizitaetundGas/Netzanschluss/start.html, zuletzt abgerufen am 29.04.2026).</w:t>
      </w:r>
    </w:p>
    <w:p w14:paraId="7FA51124"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15" w:name="_Toc230947154"/>
      <w:r w:rsidRPr="00444B0F">
        <w:rPr>
          <w:rFonts w:ascii="Calibri" w:hAnsi="Calibri" w:cs="Calibri"/>
          <w:b/>
          <w:color w:val="auto"/>
          <w:kern w:val="2"/>
          <w:sz w:val="24"/>
          <w:szCs w:val="40"/>
        </w:rPr>
        <w:t>Netzanschlussverhältnis</w:t>
      </w:r>
      <w:bookmarkEnd w:id="15"/>
    </w:p>
    <w:p w14:paraId="7A8F9739" w14:textId="632CAE26" w:rsidR="00C007AD" w:rsidRPr="00CD6406" w:rsidRDefault="00C007AD" w:rsidP="00C007AD">
      <w:pPr>
        <w:rPr>
          <w:rFonts w:ascii="Calibri" w:hAnsi="Calibri" w:cs="Calibri"/>
          <w:sz w:val="22"/>
        </w:rPr>
      </w:pPr>
      <w:r w:rsidRPr="00CD6406">
        <w:rPr>
          <w:rFonts w:ascii="Calibri" w:hAnsi="Calibri" w:cs="Calibri"/>
          <w:sz w:val="22"/>
        </w:rPr>
        <w:t>Das Netzanschlussverhältnis regelt alle gegenseitigen Rechte und Pflichten zwischen dem Netzbetreiber und dem Anschlussnehmer</w:t>
      </w:r>
      <w:r w:rsidR="00851A0C" w:rsidRPr="00CD6406">
        <w:rPr>
          <w:rFonts w:ascii="Calibri" w:hAnsi="Calibri" w:cs="Calibri"/>
          <w:sz w:val="22"/>
        </w:rPr>
        <w:t>, die den Netzanschluss aber nicht die fle</w:t>
      </w:r>
      <w:r w:rsidR="009A0221" w:rsidRPr="00CD6406">
        <w:rPr>
          <w:rFonts w:ascii="Calibri" w:hAnsi="Calibri" w:cs="Calibri"/>
          <w:sz w:val="22"/>
        </w:rPr>
        <w:t>xible Netzanschlussvereinbarung betr</w:t>
      </w:r>
      <w:r w:rsidR="009C43E6" w:rsidRPr="00CD6406">
        <w:rPr>
          <w:rFonts w:ascii="Calibri" w:hAnsi="Calibri" w:cs="Calibri"/>
          <w:sz w:val="22"/>
        </w:rPr>
        <w:t>e</w:t>
      </w:r>
      <w:r w:rsidR="009A0221" w:rsidRPr="00CD6406">
        <w:rPr>
          <w:rFonts w:ascii="Calibri" w:hAnsi="Calibri" w:cs="Calibri"/>
          <w:sz w:val="22"/>
        </w:rPr>
        <w:t>ffen</w:t>
      </w:r>
      <w:r w:rsidRPr="00CD6406">
        <w:rPr>
          <w:rFonts w:ascii="Calibri" w:hAnsi="Calibri" w:cs="Calibri"/>
          <w:sz w:val="22"/>
        </w:rPr>
        <w:t xml:space="preserve">. </w:t>
      </w:r>
    </w:p>
    <w:p w14:paraId="71A95D5D"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16" w:name="_Toc230947155"/>
      <w:r w:rsidRPr="00444B0F">
        <w:rPr>
          <w:rFonts w:ascii="Calibri" w:hAnsi="Calibri" w:cs="Calibri"/>
          <w:b/>
          <w:color w:val="auto"/>
          <w:kern w:val="2"/>
          <w:sz w:val="24"/>
          <w:szCs w:val="40"/>
        </w:rPr>
        <w:t>Netz</w:t>
      </w:r>
      <w:bookmarkEnd w:id="16"/>
      <w:r w:rsidRPr="00444B0F">
        <w:rPr>
          <w:rFonts w:ascii="Calibri" w:hAnsi="Calibri" w:cs="Calibri"/>
          <w:b/>
          <w:color w:val="auto"/>
          <w:kern w:val="2"/>
          <w:sz w:val="24"/>
          <w:szCs w:val="40"/>
        </w:rPr>
        <w:t xml:space="preserve"> </w:t>
      </w:r>
    </w:p>
    <w:p w14:paraId="096FBC23" w14:textId="77777777" w:rsidR="00C007AD" w:rsidRPr="00CD6406" w:rsidRDefault="00C007AD" w:rsidP="00C007AD">
      <w:pPr>
        <w:rPr>
          <w:rFonts w:ascii="Calibri" w:hAnsi="Calibri" w:cs="Calibri"/>
          <w:sz w:val="22"/>
        </w:rPr>
      </w:pPr>
      <w:r w:rsidRPr="00CD6406">
        <w:rPr>
          <w:rFonts w:ascii="Calibri" w:hAnsi="Calibri" w:cs="Calibri"/>
          <w:sz w:val="22"/>
        </w:rPr>
        <w:t>Die Gesamtheit der miteinander verbundenen technischen Einrichtungen zur Abnahme, Übertragung und Verteilung von Elektrizität für die allgemeine Versorgung, vgl. § 3 Nr. 35 Erneuerbare-Energien-Gesetz (EEG) 2023.</w:t>
      </w:r>
    </w:p>
    <w:p w14:paraId="1E914E3A"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17" w:name="_Toc230947156"/>
      <w:r w:rsidRPr="00444B0F">
        <w:rPr>
          <w:rFonts w:ascii="Calibri" w:hAnsi="Calibri" w:cs="Calibri"/>
          <w:b/>
          <w:color w:val="auto"/>
          <w:kern w:val="2"/>
          <w:sz w:val="24"/>
          <w:szCs w:val="40"/>
        </w:rPr>
        <w:t>Netzbetreiber</w:t>
      </w:r>
      <w:bookmarkEnd w:id="17"/>
      <w:r w:rsidRPr="00444B0F">
        <w:rPr>
          <w:rFonts w:ascii="Calibri" w:hAnsi="Calibri" w:cs="Calibri"/>
          <w:b/>
          <w:color w:val="auto"/>
          <w:kern w:val="2"/>
          <w:sz w:val="24"/>
          <w:szCs w:val="40"/>
        </w:rPr>
        <w:t xml:space="preserve"> </w:t>
      </w:r>
    </w:p>
    <w:p w14:paraId="3082D2FE" w14:textId="72D5734F" w:rsidR="00D051EF" w:rsidRDefault="00C007AD" w:rsidP="00C007AD">
      <w:pPr>
        <w:rPr>
          <w:rFonts w:ascii="Calibri" w:hAnsi="Calibri" w:cs="Calibri"/>
          <w:sz w:val="22"/>
        </w:rPr>
      </w:pPr>
      <w:r w:rsidRPr="00D051EF">
        <w:rPr>
          <w:rFonts w:ascii="Calibri" w:hAnsi="Calibri" w:cs="Calibri"/>
          <w:sz w:val="22"/>
        </w:rPr>
        <w:t>Jeder Betreiber eines Netzes für die allgemeine Versorgung mit Elektrizität, unabhängig von der Spannungsebene, vgl. § 3 Nr. 36 Erneuerbare-Energien-Gesetz (EEG) 2023.</w:t>
      </w:r>
    </w:p>
    <w:p w14:paraId="0F5FE545" w14:textId="2AF5B877" w:rsidR="001146F1" w:rsidRDefault="00FF037C" w:rsidP="00DA2FE3">
      <w:pPr>
        <w:pStyle w:val="Heading1"/>
        <w:jc w:val="center"/>
        <w:rPr>
          <w:rFonts w:ascii="Calibri" w:hAnsi="Calibri" w:cs="Calibri"/>
          <w:b/>
          <w:bCs/>
          <w:sz w:val="24"/>
          <w:szCs w:val="24"/>
        </w:rPr>
      </w:pPr>
      <w:bookmarkStart w:id="18" w:name="_Toc230947157"/>
      <w:r w:rsidRPr="00DA2FE3">
        <w:rPr>
          <w:rFonts w:ascii="Calibri" w:hAnsi="Calibri" w:cs="Calibri"/>
          <w:b/>
          <w:bCs/>
          <w:color w:val="auto"/>
          <w:sz w:val="24"/>
          <w:szCs w:val="24"/>
        </w:rPr>
        <w:t>Netzkapazität</w:t>
      </w:r>
      <w:bookmarkEnd w:id="18"/>
    </w:p>
    <w:p w14:paraId="03136034" w14:textId="6364549F" w:rsidR="00E46029" w:rsidRPr="00FF037C" w:rsidRDefault="00CE52E1" w:rsidP="00E46029">
      <w:pPr>
        <w:rPr>
          <w:rFonts w:ascii="Calibri" w:hAnsi="Calibri" w:cs="Calibri"/>
          <w:b/>
          <w:bCs/>
          <w:sz w:val="24"/>
          <w:szCs w:val="24"/>
        </w:rPr>
      </w:pPr>
      <w:r>
        <w:rPr>
          <w:rFonts w:ascii="Calibri" w:hAnsi="Calibri" w:cs="Calibri"/>
          <w:sz w:val="22"/>
        </w:rPr>
        <w:t xml:space="preserve">Netzkapazität ist die maximal mögliche elektrische Leistung, die das Netz am Netzverknüpfungspunkt dauerhaft aufnehmen </w:t>
      </w:r>
      <w:r w:rsidR="000A444C">
        <w:rPr>
          <w:rFonts w:ascii="Calibri" w:hAnsi="Calibri" w:cs="Calibri"/>
          <w:sz w:val="22"/>
        </w:rPr>
        <w:t>kann,</w:t>
      </w:r>
      <w:r>
        <w:rPr>
          <w:rFonts w:ascii="Calibri" w:hAnsi="Calibri" w:cs="Calibri"/>
          <w:sz w:val="22"/>
        </w:rPr>
        <w:t xml:space="preserve"> ohne das</w:t>
      </w:r>
      <w:r w:rsidR="006A218A">
        <w:rPr>
          <w:rFonts w:ascii="Calibri" w:hAnsi="Calibri" w:cs="Calibri"/>
          <w:sz w:val="22"/>
        </w:rPr>
        <w:t>s</w:t>
      </w:r>
      <w:r>
        <w:rPr>
          <w:rFonts w:ascii="Calibri" w:hAnsi="Calibri" w:cs="Calibri"/>
          <w:sz w:val="22"/>
        </w:rPr>
        <w:t xml:space="preserve"> die Netzbetriebsmittel an ihre Auslastungsgrenze kommen.</w:t>
      </w:r>
    </w:p>
    <w:p w14:paraId="1B3412F3"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19" w:name="_Toc230947158"/>
      <w:r w:rsidRPr="00444B0F">
        <w:rPr>
          <w:rFonts w:ascii="Calibri" w:hAnsi="Calibri" w:cs="Calibri"/>
          <w:b/>
          <w:color w:val="auto"/>
          <w:kern w:val="2"/>
          <w:sz w:val="24"/>
          <w:szCs w:val="40"/>
        </w:rPr>
        <w:t>Netzverknüpfungspunkt (NVP)</w:t>
      </w:r>
      <w:bookmarkEnd w:id="19"/>
    </w:p>
    <w:p w14:paraId="37C7C5F3" w14:textId="75DFDD84" w:rsidR="00C007AD" w:rsidRPr="00D051EF" w:rsidRDefault="00C007AD" w:rsidP="00C007AD">
      <w:pPr>
        <w:rPr>
          <w:rFonts w:ascii="Calibri" w:hAnsi="Calibri" w:cs="Calibri"/>
          <w:sz w:val="22"/>
        </w:rPr>
      </w:pPr>
      <w:r w:rsidRPr="00D051EF">
        <w:rPr>
          <w:rFonts w:ascii="Calibri" w:hAnsi="Calibri" w:cs="Calibri"/>
          <w:sz w:val="22"/>
        </w:rPr>
        <w:t>Stelle, an der eine EE-Anlage an das Netz angeschlossen wird. Bei dem gesetzlichen Verknüpfungspunkt nach § 8 Abs. 1 Erneuerbare-Energien-Gesetz (EEG) 2023 handelt es sich grundsätzlich um diejenige Stelle im Netz, die im Hinblick auf die Spannungsebene geeignet und die in Luftlinie die nächstgelegene ist, wenn nicht dieses oder ein anderes Netz einen technisch und wirtschaftlich günstigeren Verknüpfungspunkt aufweist. Es wird unterschieden zwischen dem technisch und wirtschaftlich günstigsten NVP im Sinne von § 8 Abs. 1 EEG, einen vom jeweiligen Anlagenbetreiber gewählten NVP im Sinne von § 8 Abs. 2 EEG sowie dem vom Netz-betreiber zugewiesenen nach § 8 Abs. 3 EEG 2023.</w:t>
      </w:r>
    </w:p>
    <w:p w14:paraId="0601D4AC"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20" w:name="_Toc230947159"/>
      <w:r w:rsidRPr="00444B0F">
        <w:rPr>
          <w:rFonts w:ascii="Calibri" w:hAnsi="Calibri" w:cs="Calibri"/>
          <w:b/>
          <w:color w:val="auto"/>
          <w:kern w:val="2"/>
          <w:sz w:val="24"/>
          <w:szCs w:val="40"/>
        </w:rPr>
        <w:t>P</w:t>
      </w:r>
      <w:r w:rsidRPr="00444B0F">
        <w:rPr>
          <w:rFonts w:ascii="Calibri" w:hAnsi="Calibri" w:cs="Calibri"/>
          <w:b/>
          <w:color w:val="auto"/>
          <w:kern w:val="2"/>
          <w:sz w:val="24"/>
          <w:szCs w:val="40"/>
          <w:vertAlign w:val="subscript"/>
        </w:rPr>
        <w:t>AV,E</w:t>
      </w:r>
      <w:bookmarkEnd w:id="20"/>
    </w:p>
    <w:p w14:paraId="0F487259" w14:textId="3307348D" w:rsidR="00C007AD" w:rsidRPr="00D051EF" w:rsidRDefault="00C007AD" w:rsidP="00C007AD">
      <w:pPr>
        <w:rPr>
          <w:rFonts w:ascii="Calibri" w:hAnsi="Calibri" w:cs="Calibri"/>
          <w:sz w:val="22"/>
        </w:rPr>
      </w:pPr>
      <w:r w:rsidRPr="00D051EF">
        <w:rPr>
          <w:rFonts w:ascii="Calibri" w:hAnsi="Calibri" w:cs="Calibri"/>
          <w:sz w:val="22"/>
        </w:rPr>
        <w:t>Bei der P</w:t>
      </w:r>
      <w:r w:rsidRPr="00E44A71">
        <w:rPr>
          <w:rFonts w:ascii="Calibri" w:hAnsi="Calibri" w:cs="Calibri"/>
          <w:sz w:val="22"/>
          <w:vertAlign w:val="subscript"/>
        </w:rPr>
        <w:t>AV,E</w:t>
      </w:r>
      <w:r w:rsidRPr="00D051EF">
        <w:rPr>
          <w:rFonts w:ascii="Calibri" w:hAnsi="Calibri" w:cs="Calibri"/>
          <w:sz w:val="22"/>
        </w:rPr>
        <w:t xml:space="preserve"> handelt es sich um die vereinbarte Einspeisewirkleistung. Diese bezieht sich auf die maximale Wirkleistung, die EE-Anlagen in das öffentliche Stromnetz einspeisen dürfen. P</w:t>
      </w:r>
      <w:r w:rsidRPr="008344E0">
        <w:rPr>
          <w:rFonts w:ascii="Calibri" w:hAnsi="Calibri" w:cs="Calibri"/>
          <w:sz w:val="22"/>
          <w:vertAlign w:val="subscript"/>
        </w:rPr>
        <w:t>AV,E</w:t>
      </w:r>
      <w:r w:rsidRPr="00D051EF">
        <w:rPr>
          <w:rFonts w:ascii="Calibri" w:hAnsi="Calibri" w:cs="Calibri"/>
          <w:sz w:val="22"/>
        </w:rPr>
        <w:t xml:space="preserve"> steht für „Power Anschlussleistung Vertraglich vereinbart, Einspeiseleistung“.</w:t>
      </w:r>
    </w:p>
    <w:p w14:paraId="69578C15"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21" w:name="_Toc230947160"/>
      <w:r w:rsidRPr="00444B0F">
        <w:rPr>
          <w:rFonts w:ascii="Calibri" w:hAnsi="Calibri" w:cs="Calibri"/>
          <w:b/>
          <w:color w:val="auto"/>
          <w:kern w:val="2"/>
          <w:sz w:val="24"/>
          <w:szCs w:val="40"/>
        </w:rPr>
        <w:t>Redispatch</w:t>
      </w:r>
      <w:bookmarkEnd w:id="21"/>
      <w:r w:rsidRPr="00444B0F">
        <w:rPr>
          <w:rFonts w:ascii="Calibri" w:hAnsi="Calibri" w:cs="Calibri"/>
          <w:b/>
          <w:color w:val="auto"/>
          <w:kern w:val="2"/>
          <w:sz w:val="24"/>
          <w:szCs w:val="40"/>
        </w:rPr>
        <w:t xml:space="preserve"> </w:t>
      </w:r>
    </w:p>
    <w:p w14:paraId="7BC615E1" w14:textId="50B209C1" w:rsidR="00C007AD" w:rsidRPr="00D051EF" w:rsidRDefault="00C007AD" w:rsidP="00D051EF">
      <w:pPr>
        <w:rPr>
          <w:rFonts w:ascii="Calibri" w:hAnsi="Calibri" w:cs="Calibri"/>
          <w:sz w:val="22"/>
        </w:rPr>
      </w:pPr>
      <w:r w:rsidRPr="00D051EF">
        <w:rPr>
          <w:rFonts w:ascii="Calibri" w:hAnsi="Calibri" w:cs="Calibri"/>
          <w:sz w:val="22"/>
        </w:rPr>
        <w:t>Unter Redispatch versteht man Eingriffe in die Erzeugungsleistung von Kraftwerken, um Leitungsabschnitte vor einer Überlastung zu schützen (Definition der Bundesnetzagentur)</w:t>
      </w:r>
      <w:r w:rsidR="00D12B28" w:rsidRPr="00D051EF">
        <w:rPr>
          <w:rFonts w:ascii="Calibri" w:hAnsi="Calibri" w:cs="Calibri"/>
          <w:sz w:val="22"/>
        </w:rPr>
        <w:t>, vgl. § 13a EnWG</w:t>
      </w:r>
      <w:r w:rsidR="007E7264">
        <w:rPr>
          <w:rFonts w:ascii="Calibri" w:hAnsi="Calibri" w:cs="Calibri"/>
          <w:sz w:val="22"/>
        </w:rPr>
        <w:t>.</w:t>
      </w:r>
    </w:p>
    <w:p w14:paraId="79425F88" w14:textId="145CC34F" w:rsidR="00C007AD" w:rsidRPr="00D051EF" w:rsidRDefault="00C007AD" w:rsidP="00D051EF">
      <w:pPr>
        <w:rPr>
          <w:rFonts w:ascii="Calibri" w:hAnsi="Calibri" w:cs="Calibri"/>
          <w:sz w:val="22"/>
        </w:rPr>
      </w:pPr>
      <w:r w:rsidRPr="00D051EF">
        <w:rPr>
          <w:rFonts w:ascii="Calibri" w:hAnsi="Calibri" w:cs="Calibri"/>
          <w:sz w:val="22"/>
        </w:rPr>
        <w:t>Im Anwendungsbereich der flexiblen Netzanschlussvereinbarung handelt es sich dann um Redispatch-Maßnahmen, wenn sie den Leistungsbereich unterhalb der vereinbarten Wirkleistungsbegrenzung betreffen.</w:t>
      </w:r>
    </w:p>
    <w:p w14:paraId="0B8EB858"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22" w:name="_Toc230947161"/>
      <w:r w:rsidRPr="00444B0F">
        <w:rPr>
          <w:rFonts w:ascii="Calibri" w:hAnsi="Calibri" w:cs="Calibri"/>
          <w:b/>
          <w:color w:val="auto"/>
          <w:kern w:val="2"/>
          <w:sz w:val="24"/>
          <w:szCs w:val="40"/>
        </w:rPr>
        <w:t>Redispatchausgleich/-entschädigung</w:t>
      </w:r>
      <w:bookmarkEnd w:id="22"/>
    </w:p>
    <w:p w14:paraId="7D42B73F" w14:textId="01684273" w:rsidR="00C007AD" w:rsidRPr="00D051EF" w:rsidRDefault="00C007AD" w:rsidP="00C007AD">
      <w:pPr>
        <w:rPr>
          <w:rFonts w:ascii="Calibri" w:hAnsi="Calibri" w:cs="Calibri"/>
          <w:sz w:val="22"/>
        </w:rPr>
      </w:pPr>
      <w:r w:rsidRPr="00D051EF">
        <w:rPr>
          <w:rFonts w:ascii="Calibri" w:hAnsi="Calibri" w:cs="Calibri"/>
          <w:sz w:val="22"/>
        </w:rPr>
        <w:t>Ein vorgenommener Redispatch ist zwischen dem Betreiber des Übertragungsnetzes und dem Betreiber der Anlage zur Erzeugung oder Speicherung von elektrischer Energie finanziell auszugleichen, § 13a Abs. 2 EnWG. Der finanzielle Ausgleich soll den Anlagenbetreiber dabei wirtschaftlich weder besser noch schlechter stellen als er ohne den Eingriff in die Erzeugungsleistung stünde, vgl. § 13a bzw. § 14 EnWG.</w:t>
      </w:r>
    </w:p>
    <w:p w14:paraId="037CDD55"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23" w:name="_Toc230947162"/>
      <w:r w:rsidRPr="00444B0F">
        <w:rPr>
          <w:rFonts w:ascii="Calibri" w:hAnsi="Calibri" w:cs="Calibri"/>
          <w:b/>
          <w:color w:val="auto"/>
          <w:kern w:val="2"/>
          <w:sz w:val="24"/>
          <w:szCs w:val="40"/>
        </w:rPr>
        <w:t>Speicheranlage</w:t>
      </w:r>
      <w:bookmarkEnd w:id="23"/>
    </w:p>
    <w:p w14:paraId="6843B9A7" w14:textId="2841FAC1" w:rsidR="00C007AD" w:rsidRPr="00D051EF" w:rsidRDefault="00C007AD" w:rsidP="00C007AD">
      <w:pPr>
        <w:rPr>
          <w:rFonts w:ascii="Calibri" w:hAnsi="Calibri" w:cs="Calibri"/>
          <w:sz w:val="22"/>
        </w:rPr>
      </w:pPr>
      <w:r w:rsidRPr="00D051EF">
        <w:rPr>
          <w:rFonts w:ascii="Calibri" w:hAnsi="Calibri" w:cs="Calibri"/>
          <w:sz w:val="22"/>
        </w:rPr>
        <w:t xml:space="preserve">Anlage in einem Netz, mit der die endgültige Nutzung elektrischer Energie auf einen späteren Zeitpunkt als den ihrer Erzeugung verschoben wird oder mit der die Umwandlung elektrischer Energie in eine speicherbare Energieform, die Speicherung solcher Energie und ihre anschließende Rückumwandlung in elektrische Energie oder Nutzung als ein anderer Energieträger erfolgt, vgl. § 3 Ziffer 36 Energiewirtschaftsgesetz (EnWG)). </w:t>
      </w:r>
    </w:p>
    <w:p w14:paraId="09362938" w14:textId="77777777" w:rsidR="00C007AD" w:rsidRPr="00444B0F" w:rsidRDefault="00C007AD" w:rsidP="00C007AD">
      <w:pPr>
        <w:rPr>
          <w:rFonts w:ascii="Calibri" w:hAnsi="Calibri" w:cs="Calibri"/>
        </w:rPr>
      </w:pPr>
      <w:r w:rsidRPr="00D051EF">
        <w:rPr>
          <w:rFonts w:ascii="Calibri" w:hAnsi="Calibri" w:cs="Calibri"/>
          <w:sz w:val="22"/>
        </w:rPr>
        <w:t>Die Speicheranlagen nach dem EnWG umfassen insbesondere Misch- und Graustromspeicher, die unter das Netzanschlussregime des § 17 EnWG fallen. Eine besondere Form der Speicheranlagen sind Grünstromspeicher. Diese nutzen ausschließlich Strom aus erneuerbaren Energiequellen (Ausschließlichkeitsoption nach § 19 Abs. 3a Erneuerbare-Energien-Gesetz (EEG) 2023).</w:t>
      </w:r>
      <w:r w:rsidRPr="00444B0F">
        <w:rPr>
          <w:rFonts w:ascii="Calibri" w:hAnsi="Calibri" w:cs="Calibri"/>
        </w:rPr>
        <w:t xml:space="preserve"> </w:t>
      </w:r>
    </w:p>
    <w:p w14:paraId="7DD7EBE2"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24" w:name="_Toc230947163"/>
      <w:r w:rsidRPr="00444B0F">
        <w:rPr>
          <w:rFonts w:ascii="Calibri" w:hAnsi="Calibri" w:cs="Calibri"/>
          <w:b/>
          <w:color w:val="auto"/>
          <w:kern w:val="2"/>
          <w:sz w:val="24"/>
          <w:szCs w:val="40"/>
        </w:rPr>
        <w:t>Technische Anschlussbedingungen (TAB)</w:t>
      </w:r>
      <w:bookmarkEnd w:id="24"/>
    </w:p>
    <w:p w14:paraId="5F813330" w14:textId="1D2E390E" w:rsidR="00C007AD" w:rsidRPr="000932B8" w:rsidRDefault="00C007AD" w:rsidP="00C007AD">
      <w:pPr>
        <w:rPr>
          <w:rFonts w:ascii="Calibri" w:hAnsi="Calibri" w:cs="Calibri"/>
          <w:sz w:val="22"/>
        </w:rPr>
      </w:pPr>
      <w:r w:rsidRPr="000932B8">
        <w:rPr>
          <w:rFonts w:ascii="Calibri" w:hAnsi="Calibri" w:cs="Calibri"/>
          <w:sz w:val="22"/>
        </w:rPr>
        <w:t>Die Netzbetreiber sind verpflichtet, unter Berücksichtigung der festgelegten Bedingungen für den Netzanschluss von Erzeugungsanlagen, Anlagen zur Speicherung elektrischer Energie, Elektrizitätsverteilernetzen, Anlagen direkt angeschlossener Kunden, Verbindungsleitungen und Direktleitungen technische Mindestanforderungen an deren Auslegung und deren Betrieb (technische Anschlussbedingungen) festzulegen und im Internet zu veröffentlichen, vgl. § 19 Abs. 1 S.</w:t>
      </w:r>
      <w:r w:rsidR="00B31539">
        <w:rPr>
          <w:rFonts w:ascii="Calibri" w:hAnsi="Calibri" w:cs="Calibri"/>
          <w:sz w:val="22"/>
        </w:rPr>
        <w:t> </w:t>
      </w:r>
      <w:r w:rsidRPr="000932B8">
        <w:rPr>
          <w:rFonts w:ascii="Calibri" w:hAnsi="Calibri" w:cs="Calibri"/>
          <w:sz w:val="22"/>
        </w:rPr>
        <w:t xml:space="preserve">1 Energiewirtschaftsgesetz (EnWG). In diesen Technischen Anschlussbedingungen (TAB) werden die Anforderungen für eine sichere und zuverlässige Elektroenergieversorgung festgelegt. </w:t>
      </w:r>
    </w:p>
    <w:p w14:paraId="7A959C77"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25" w:name="_Toc230947164"/>
      <w:r w:rsidRPr="00444B0F">
        <w:rPr>
          <w:rFonts w:ascii="Calibri" w:hAnsi="Calibri" w:cs="Calibri"/>
          <w:b/>
          <w:color w:val="auto"/>
          <w:kern w:val="2"/>
          <w:sz w:val="24"/>
          <w:szCs w:val="40"/>
        </w:rPr>
        <w:t>Technische Anschlussregeln (TAR)</w:t>
      </w:r>
      <w:bookmarkEnd w:id="25"/>
    </w:p>
    <w:p w14:paraId="58A06DE0" w14:textId="6BB1F8B2" w:rsidR="00C007AD" w:rsidRPr="000932B8" w:rsidRDefault="00C007AD" w:rsidP="00C007AD">
      <w:pPr>
        <w:rPr>
          <w:rFonts w:ascii="Calibri" w:hAnsi="Calibri" w:cs="Calibri"/>
          <w:sz w:val="22"/>
        </w:rPr>
      </w:pPr>
      <w:r w:rsidRPr="000932B8">
        <w:rPr>
          <w:rFonts w:ascii="Calibri" w:hAnsi="Calibri" w:cs="Calibri"/>
          <w:sz w:val="22"/>
        </w:rPr>
        <w:t xml:space="preserve">VDE FNN hat mit den Technischen Anschlussregeln für den Netzanschluss auf allen Spannungsebenen (TAR) ein bundesweit einheitliches Regelwerk geschaffen, das für eine sichere Netzintegration erneuerbarer Energien, Interoperabilität der Netze sowie Investitions- und Planungssicherheit steht. Es ist Voraussetzung für den sicheren Betrieb der Stromnetze.  Die Technischen Anschlussregeln sind entsprechend der Spannungsebene zu beachten: Für die Niederspannung ist VDE-AR-N 4105 relevant, für die Mittelspannung ist auf VDE-AR-N 4110 zu verweisen. Für die Ebene der Hochspannung ist VDE-AR-N 4120 relevant und für die Höchstspannungsebene ist auf VDE-AR-N 4130 zu verweisen. </w:t>
      </w:r>
    </w:p>
    <w:p w14:paraId="1DA412E7"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26" w:name="_Toc230947165"/>
      <w:r w:rsidRPr="00444B0F">
        <w:rPr>
          <w:rFonts w:ascii="Calibri" w:hAnsi="Calibri" w:cs="Calibri"/>
          <w:b/>
          <w:color w:val="auto"/>
          <w:kern w:val="2"/>
          <w:sz w:val="24"/>
          <w:szCs w:val="40"/>
        </w:rPr>
        <w:t>Überbauung</w:t>
      </w:r>
      <w:bookmarkEnd w:id="26"/>
    </w:p>
    <w:p w14:paraId="3A75EA4E" w14:textId="259EBE20" w:rsidR="00C007AD" w:rsidRPr="008344E0" w:rsidRDefault="00C007AD" w:rsidP="00C007AD">
      <w:pPr>
        <w:rPr>
          <w:rFonts w:ascii="Calibri" w:hAnsi="Calibri" w:cs="Calibri"/>
          <w:sz w:val="22"/>
        </w:rPr>
      </w:pPr>
      <w:r w:rsidRPr="008344E0">
        <w:rPr>
          <w:rFonts w:ascii="Calibri" w:hAnsi="Calibri" w:cs="Calibri"/>
          <w:sz w:val="22"/>
        </w:rPr>
        <w:t>Anschluss einer oder mehrerer EE-Anlagen an das Netz mit einer summarischen Erzeugungsleistung, welche die am Netzverknüpfungspunkt – unter Berücksichtigung der verfügbaren Netzkapazität – vereinbarte maximale Anschlusskapazität dauerhaft oder temporär überschreitet, einschließlich einer statischen, dynamischen oder volldynamischen Wirkleistungsbegrenzung.</w:t>
      </w:r>
    </w:p>
    <w:p w14:paraId="58AA89A0"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27" w:name="_Toc230947166"/>
      <w:r w:rsidRPr="00444B0F">
        <w:rPr>
          <w:rFonts w:ascii="Calibri" w:hAnsi="Calibri" w:cs="Calibri"/>
          <w:b/>
          <w:color w:val="auto"/>
          <w:kern w:val="2"/>
          <w:sz w:val="24"/>
          <w:szCs w:val="40"/>
        </w:rPr>
        <w:t>Verfügbare Anschlusskapazität</w:t>
      </w:r>
      <w:bookmarkEnd w:id="27"/>
      <w:r w:rsidRPr="00444B0F">
        <w:rPr>
          <w:rFonts w:ascii="Calibri" w:hAnsi="Calibri" w:cs="Calibri"/>
          <w:b/>
          <w:color w:val="auto"/>
          <w:kern w:val="2"/>
          <w:sz w:val="24"/>
          <w:szCs w:val="40"/>
        </w:rPr>
        <w:t xml:space="preserve"> </w:t>
      </w:r>
    </w:p>
    <w:p w14:paraId="216EB06B" w14:textId="09B8AAE5" w:rsidR="00C007AD" w:rsidRPr="00444B0F" w:rsidRDefault="00C007AD" w:rsidP="00C007AD">
      <w:pPr>
        <w:rPr>
          <w:rFonts w:ascii="Calibri" w:hAnsi="Calibri" w:cs="Calibri"/>
        </w:rPr>
      </w:pPr>
      <w:r w:rsidRPr="008344E0">
        <w:rPr>
          <w:rFonts w:ascii="Calibri" w:hAnsi="Calibri" w:cs="Calibri"/>
          <w:sz w:val="22"/>
        </w:rPr>
        <w:t>Für die flexible Netzanschlussvereinbarung ganz oder anteilig, dauerhaft oder temporär verfügbare Netzkapazität, die für die anzuschließende oder angeschlossene Leistung zur Verfügung steht. Grundlage für deren Bestimmung ist die Netzverträglichkeitsprüfung ggf. unter Berücksichtigung des Reservierungsverfahrens und geplanter Maßnahmen zur Erweiterung der Netzkapazität.</w:t>
      </w:r>
    </w:p>
    <w:p w14:paraId="2E72C4ED"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28" w:name="_Toc230947167"/>
      <w:r w:rsidRPr="00444B0F">
        <w:rPr>
          <w:rFonts w:ascii="Calibri" w:hAnsi="Calibri" w:cs="Calibri"/>
          <w:b/>
          <w:color w:val="auto"/>
          <w:kern w:val="2"/>
          <w:sz w:val="24"/>
          <w:szCs w:val="40"/>
        </w:rPr>
        <w:t>Wirkleistung</w:t>
      </w:r>
      <w:bookmarkEnd w:id="28"/>
    </w:p>
    <w:p w14:paraId="03F97997" w14:textId="0C80BB95" w:rsidR="00C007AD" w:rsidRPr="008344E0" w:rsidRDefault="00C007AD" w:rsidP="00C007AD">
      <w:pPr>
        <w:rPr>
          <w:rFonts w:ascii="Calibri" w:hAnsi="Calibri" w:cs="Calibri"/>
          <w:sz w:val="22"/>
        </w:rPr>
      </w:pPr>
      <w:r w:rsidRPr="008344E0">
        <w:rPr>
          <w:rFonts w:ascii="Calibri" w:hAnsi="Calibri" w:cs="Calibri"/>
          <w:sz w:val="22"/>
        </w:rPr>
        <w:t xml:space="preserve">Die installierte Leistung einer Anlage ist die Wirkleistung, welche die Anlage bei bestimmungsgemäßem Betrieb ohne zeitliche Einschränkungen erbringen kann. Kurzfristige geringfügige Abweichungen sind dabei unbeachtlich. Die installierte Leistung entspricht der aufgrund der technischen Beschaffenheit möglichen maximalen Dauerleistung (BT-Drs. 17/6071, S. 61). </w:t>
      </w:r>
    </w:p>
    <w:p w14:paraId="14BA3FE5" w14:textId="4D73E747" w:rsidR="00C007AD" w:rsidRPr="008344E0" w:rsidRDefault="00C007AD" w:rsidP="00C007AD">
      <w:pPr>
        <w:rPr>
          <w:rFonts w:ascii="Calibri" w:hAnsi="Calibri" w:cs="Calibri"/>
          <w:sz w:val="22"/>
        </w:rPr>
      </w:pPr>
      <w:r w:rsidRPr="008344E0">
        <w:rPr>
          <w:rFonts w:ascii="Calibri" w:hAnsi="Calibri" w:cs="Calibri"/>
          <w:sz w:val="22"/>
        </w:rPr>
        <w:t>Die Wirkleistung ist hierbei die elektrische Leistung, die für die Umsetzung in eine andere Leistung, z.</w:t>
      </w:r>
      <w:r w:rsidR="00C7282C" w:rsidRPr="008344E0">
        <w:rPr>
          <w:rFonts w:ascii="Calibri" w:hAnsi="Calibri" w:cs="Calibri"/>
          <w:sz w:val="22"/>
        </w:rPr>
        <w:t> </w:t>
      </w:r>
      <w:r w:rsidRPr="008344E0">
        <w:rPr>
          <w:rFonts w:ascii="Calibri" w:hAnsi="Calibri" w:cs="Calibri"/>
          <w:sz w:val="22"/>
        </w:rPr>
        <w:t>B. in mechanische, thermische, chemische, optische oder akustische Leistung verfügbar ist (BT-Drs. 17/6071, S. 61).</w:t>
      </w:r>
    </w:p>
    <w:p w14:paraId="4831E3D8"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29" w:name="_Toc230947168"/>
      <w:r w:rsidRPr="00444B0F">
        <w:rPr>
          <w:rFonts w:ascii="Calibri" w:hAnsi="Calibri" w:cs="Calibri"/>
          <w:b/>
          <w:color w:val="auto"/>
          <w:kern w:val="2"/>
          <w:sz w:val="24"/>
          <w:szCs w:val="40"/>
        </w:rPr>
        <w:t>Wirkleistungsbegrenzung</w:t>
      </w:r>
      <w:bookmarkEnd w:id="29"/>
    </w:p>
    <w:p w14:paraId="3CFEC364" w14:textId="2E936533" w:rsidR="00C007AD" w:rsidRPr="008344E0" w:rsidRDefault="00C007AD" w:rsidP="00C007AD">
      <w:pPr>
        <w:rPr>
          <w:rFonts w:ascii="Calibri" w:hAnsi="Calibri" w:cs="Calibri"/>
          <w:sz w:val="22"/>
        </w:rPr>
      </w:pPr>
      <w:r w:rsidRPr="008344E0">
        <w:rPr>
          <w:rFonts w:ascii="Calibri" w:hAnsi="Calibri" w:cs="Calibri"/>
          <w:sz w:val="22"/>
        </w:rPr>
        <w:t xml:space="preserve">Technische Begrenzung der Einspeisewirkleistung einer oder mehrerer Erzeugungs- und Speicheranlagen entsprechend der am Netzverknüpfungspunkt vereinbarten maximalen Einspeisekapazität. Es handelt sich um die maximale Einspeiseleistung am Netzverknüpfungspunkt. </w:t>
      </w:r>
      <w:r w:rsidR="00A571EE" w:rsidRPr="008344E0">
        <w:rPr>
          <w:rFonts w:ascii="Calibri" w:hAnsi="Calibri" w:cs="Calibri"/>
          <w:sz w:val="22"/>
        </w:rPr>
        <w:t xml:space="preserve">Durch geeignete technische Maßnahmen ist </w:t>
      </w:r>
      <w:r w:rsidR="00462E9E" w:rsidRPr="008344E0">
        <w:rPr>
          <w:rFonts w:ascii="Calibri" w:hAnsi="Calibri" w:cs="Calibri"/>
          <w:sz w:val="22"/>
        </w:rPr>
        <w:t>s</w:t>
      </w:r>
      <w:r w:rsidR="00A571EE" w:rsidRPr="008344E0">
        <w:rPr>
          <w:rFonts w:ascii="Calibri" w:hAnsi="Calibri" w:cs="Calibri"/>
          <w:sz w:val="22"/>
        </w:rPr>
        <w:t>icherzustellen, dass d</w:t>
      </w:r>
      <w:r w:rsidRPr="008344E0">
        <w:rPr>
          <w:rFonts w:ascii="Calibri" w:hAnsi="Calibri" w:cs="Calibri"/>
          <w:sz w:val="22"/>
        </w:rPr>
        <w:t xml:space="preserve">ie Wirkleistungsbegrenzung durch den Anlagenbetreiber jederzeit </w:t>
      </w:r>
      <w:r w:rsidR="000C4587" w:rsidRPr="008344E0">
        <w:rPr>
          <w:rFonts w:ascii="Calibri" w:hAnsi="Calibri" w:cs="Calibri"/>
          <w:sz w:val="22"/>
        </w:rPr>
        <w:t>eingehalten wird</w:t>
      </w:r>
      <w:r w:rsidR="0054624A" w:rsidRPr="008344E0">
        <w:rPr>
          <w:rFonts w:ascii="Calibri" w:hAnsi="Calibri" w:cs="Calibri"/>
          <w:sz w:val="22"/>
        </w:rPr>
        <w:t xml:space="preserve"> </w:t>
      </w:r>
      <w:r w:rsidRPr="008344E0">
        <w:rPr>
          <w:rFonts w:ascii="Calibri" w:hAnsi="Calibri" w:cs="Calibri"/>
          <w:sz w:val="22"/>
        </w:rPr>
        <w:t>(§ 8a Abs. 1 Satz 2 EEG). Dabei können sich die Rahmenbedingungen zur Beschränkung der Anschlussleistung unterscheiden</w:t>
      </w:r>
      <w:r w:rsidR="7379E755" w:rsidRPr="008344E0">
        <w:rPr>
          <w:rFonts w:ascii="Calibri" w:hAnsi="Calibri" w:cs="Calibri"/>
          <w:sz w:val="22"/>
        </w:rPr>
        <w:t>.</w:t>
      </w:r>
      <w:r w:rsidRPr="008344E0">
        <w:rPr>
          <w:rFonts w:ascii="Calibri" w:hAnsi="Calibri" w:cs="Calibri"/>
          <w:sz w:val="22"/>
        </w:rPr>
        <w:t xml:space="preserve"> </w:t>
      </w:r>
    </w:p>
    <w:p w14:paraId="149A98B7"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30" w:name="_Toc230947169"/>
      <w:r w:rsidRPr="00444B0F">
        <w:rPr>
          <w:rFonts w:ascii="Calibri" w:hAnsi="Calibri" w:cs="Calibri"/>
          <w:b/>
          <w:color w:val="auto"/>
          <w:kern w:val="2"/>
          <w:sz w:val="24"/>
          <w:szCs w:val="40"/>
        </w:rPr>
        <w:t>Statische Wirkleistungsbegrenzung</w:t>
      </w:r>
      <w:bookmarkEnd w:id="30"/>
      <w:r w:rsidRPr="00444B0F">
        <w:rPr>
          <w:rFonts w:ascii="Calibri" w:hAnsi="Calibri" w:cs="Calibri"/>
          <w:b/>
          <w:color w:val="auto"/>
          <w:kern w:val="2"/>
          <w:sz w:val="24"/>
          <w:szCs w:val="40"/>
        </w:rPr>
        <w:t xml:space="preserve">  </w:t>
      </w:r>
    </w:p>
    <w:p w14:paraId="09E15F9A" w14:textId="77777777" w:rsidR="00C007AD" w:rsidRPr="008344E0" w:rsidRDefault="00C007AD" w:rsidP="00C007AD">
      <w:pPr>
        <w:rPr>
          <w:rFonts w:ascii="Calibri" w:hAnsi="Calibri" w:cs="Calibri"/>
          <w:sz w:val="22"/>
        </w:rPr>
      </w:pPr>
      <w:r w:rsidRPr="008344E0">
        <w:rPr>
          <w:rFonts w:ascii="Calibri" w:hAnsi="Calibri" w:cs="Calibri"/>
          <w:sz w:val="22"/>
        </w:rPr>
        <w:t>Bei einer statischen Leistungsbegrenzung steht für die Dauer der flexiblen Netzanschlussvereinbarung die Netzanschlussleistung in Höhe eines konstant vorgegebenen Maximalwertes unterhalb der installierten Anlagenleistung zur Verfügung, vgl. BT-Drs. 20/14235, S. 71.</w:t>
      </w:r>
    </w:p>
    <w:p w14:paraId="261D567D"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31" w:name="_Toc230947170"/>
      <w:r w:rsidRPr="00444B0F">
        <w:rPr>
          <w:rFonts w:ascii="Calibri" w:hAnsi="Calibri" w:cs="Calibri"/>
          <w:b/>
          <w:color w:val="auto"/>
          <w:kern w:val="2"/>
          <w:sz w:val="24"/>
          <w:szCs w:val="40"/>
        </w:rPr>
        <w:t>Dynamische Wirkleistungsbegrenzung</w:t>
      </w:r>
      <w:bookmarkEnd w:id="31"/>
      <w:r w:rsidRPr="00444B0F">
        <w:rPr>
          <w:rFonts w:ascii="Calibri" w:hAnsi="Calibri" w:cs="Calibri"/>
          <w:b/>
          <w:color w:val="auto"/>
          <w:kern w:val="2"/>
          <w:sz w:val="24"/>
          <w:szCs w:val="40"/>
        </w:rPr>
        <w:t xml:space="preserve">  </w:t>
      </w:r>
    </w:p>
    <w:p w14:paraId="4E8BAE16" w14:textId="0AB956EF" w:rsidR="00C007AD" w:rsidRPr="008344E0" w:rsidRDefault="00C007AD" w:rsidP="00C007AD">
      <w:pPr>
        <w:rPr>
          <w:rFonts w:ascii="Calibri" w:hAnsi="Calibri" w:cs="Calibri"/>
          <w:sz w:val="22"/>
        </w:rPr>
      </w:pPr>
      <w:r w:rsidRPr="008344E0">
        <w:rPr>
          <w:rFonts w:ascii="Calibri" w:hAnsi="Calibri" w:cs="Calibri"/>
          <w:sz w:val="22"/>
        </w:rPr>
        <w:t>Bei dynamischen Leistungsbegrenzung ist die Netzanschlussleistung in vom Netzbetreiber vorab definierten und planbaren Zeitfenstern in unterschiedlicher Höhe nutzbar (beispielsweise in bestimmten Mittagsstunden mit einer niedrigeren und in den restlichen Zeiträumen mit einer höheren maximalen Einspeiseleistung), vgl. BT-Drs. 20/14235, S. 71, 72.</w:t>
      </w:r>
    </w:p>
    <w:p w14:paraId="5FA25011" w14:textId="77777777" w:rsidR="00C007AD" w:rsidRPr="00444B0F" w:rsidRDefault="00C007AD" w:rsidP="00C007AD">
      <w:pPr>
        <w:pStyle w:val="Heading1"/>
        <w:spacing w:before="360" w:after="80" w:line="240" w:lineRule="auto"/>
        <w:jc w:val="center"/>
        <w:rPr>
          <w:rFonts w:ascii="Calibri" w:hAnsi="Calibri" w:cs="Calibri"/>
          <w:b/>
          <w:color w:val="auto"/>
          <w:kern w:val="2"/>
          <w:sz w:val="24"/>
          <w:szCs w:val="40"/>
        </w:rPr>
      </w:pPr>
      <w:bookmarkStart w:id="32" w:name="_Toc230947171"/>
      <w:r w:rsidRPr="00444B0F">
        <w:rPr>
          <w:rFonts w:ascii="Calibri" w:hAnsi="Calibri" w:cs="Calibri"/>
          <w:b/>
          <w:color w:val="auto"/>
          <w:kern w:val="2"/>
          <w:sz w:val="24"/>
          <w:szCs w:val="40"/>
        </w:rPr>
        <w:t>Volldynamische Wirkleistungsbegrenzung</w:t>
      </w:r>
      <w:bookmarkEnd w:id="32"/>
      <w:r w:rsidRPr="00444B0F">
        <w:rPr>
          <w:rFonts w:ascii="Calibri" w:hAnsi="Calibri" w:cs="Calibri"/>
          <w:b/>
          <w:color w:val="auto"/>
          <w:kern w:val="2"/>
          <w:sz w:val="24"/>
          <w:szCs w:val="40"/>
        </w:rPr>
        <w:t xml:space="preserve">  </w:t>
      </w:r>
    </w:p>
    <w:p w14:paraId="377E7EA9" w14:textId="0348CAB2" w:rsidR="002274CB" w:rsidRPr="008344E0" w:rsidRDefault="00C007AD" w:rsidP="00C007AD">
      <w:pPr>
        <w:rPr>
          <w:rFonts w:ascii="Calibri" w:hAnsi="Calibri" w:cs="Calibri"/>
          <w:sz w:val="22"/>
        </w:rPr>
      </w:pPr>
      <w:r w:rsidRPr="008344E0">
        <w:rPr>
          <w:rFonts w:ascii="Calibri" w:hAnsi="Calibri" w:cs="Calibri"/>
          <w:sz w:val="22"/>
        </w:rPr>
        <w:t>Bei einer volldynamischen Leistungsbegrenzung kann der Netzanschluss grundsätzlich im Umfang der maximalen Netzanschlussleistung genutzt werden – dem Verteilernetzbetreiber wird aber das Recht gegeben, ereignisorientiert je nach Auslastung die Höhe der Anschlussleistung, ggf. bis auf eine vereinbarte Untergrenze, zu beschränken, um so eine höhere Auslastung in Zeiten, in denen es keine Engpässe gibt, zu ermöglichen, vgl. BT-Drs. 20/14235, S. 72.</w:t>
      </w:r>
    </w:p>
    <w:sectPr w:rsidR="002274CB" w:rsidRPr="008344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utiger LT Com 45 Light">
    <w:altName w:val="Calibri"/>
    <w:charset w:val="00"/>
    <w:family w:val="swiss"/>
    <w:pitch w:val="variable"/>
    <w:sig w:usb0="800000AF" w:usb1="5000204A"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Com 55 Roman">
    <w:altName w:val="Calibri"/>
    <w:charset w:val="00"/>
    <w:family w:val="swiss"/>
    <w:pitch w:val="variable"/>
    <w:sig w:usb0="800000AF" w:usb1="5000204A" w:usb2="00000000" w:usb3="00000000" w:csb0="0000009B"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IBM Plex Sans Condensed">
    <w:altName w:val="Calibri"/>
    <w:charset w:val="00"/>
    <w:family w:val="swiss"/>
    <w:pitch w:val="variable"/>
    <w:sig w:usb0="A000006F" w:usb1="5000207B" w:usb2="00000000" w:usb3="00000000" w:csb0="00000193"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4760A"/>
    <w:multiLevelType w:val="hybridMultilevel"/>
    <w:tmpl w:val="8AC29E08"/>
    <w:lvl w:ilvl="0" w:tplc="1A242B4A">
      <w:start w:val="1"/>
      <w:numFmt w:val="bullet"/>
      <w:lvlText w:val="•"/>
      <w:lvlJc w:val="left"/>
      <w:pPr>
        <w:ind w:left="720" w:hanging="360"/>
      </w:pPr>
      <w:rPr>
        <w:rFonts w:ascii="Frutiger LT Com 45 Light" w:hAnsi="Frutiger LT Com 45 Light" w:hint="default"/>
        <w:color w:val="196B24" w:themeColor="accent3"/>
        <w:u w:color="196B24" w:themeColor="accent3"/>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EC695C"/>
    <w:multiLevelType w:val="multilevel"/>
    <w:tmpl w:val="B1B8873C"/>
    <w:lvl w:ilvl="0">
      <w:start w:val="1"/>
      <w:numFmt w:val="decimal"/>
      <w:lvlText w:val="%1"/>
      <w:lvlJc w:val="left"/>
      <w:pPr>
        <w:ind w:left="737" w:hanging="73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624"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98800FB"/>
    <w:multiLevelType w:val="hybridMultilevel"/>
    <w:tmpl w:val="3532398C"/>
    <w:lvl w:ilvl="0" w:tplc="FC8E7F1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A0956D9"/>
    <w:multiLevelType w:val="hybridMultilevel"/>
    <w:tmpl w:val="305A7D8A"/>
    <w:lvl w:ilvl="0" w:tplc="1A242B4A">
      <w:start w:val="1"/>
      <w:numFmt w:val="bullet"/>
      <w:lvlText w:val="•"/>
      <w:lvlJc w:val="left"/>
      <w:pPr>
        <w:ind w:left="720" w:hanging="360"/>
      </w:pPr>
      <w:rPr>
        <w:rFonts w:ascii="Frutiger LT Com 45 Light" w:hAnsi="Frutiger LT Com 45 Light" w:hint="default"/>
        <w:color w:val="196B24" w:themeColor="accent3"/>
        <w:u w:color="196B24" w:themeColor="accent3"/>
      </w:rPr>
    </w:lvl>
    <w:lvl w:ilvl="1" w:tplc="95BCB6E4">
      <w:start w:val="1"/>
      <w:numFmt w:val="bullet"/>
      <w:lvlText w:val="–"/>
      <w:lvlJc w:val="left"/>
      <w:pPr>
        <w:ind w:left="1440" w:hanging="360"/>
      </w:pPr>
      <w:rPr>
        <w:rFonts w:ascii="Frutiger LT Com 55 Roman" w:hAnsi="Frutiger LT Com 55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959045">
    <w:abstractNumId w:val="0"/>
  </w:num>
  <w:num w:numId="2" w16cid:durableId="942615524">
    <w:abstractNumId w:val="3"/>
  </w:num>
  <w:num w:numId="3" w16cid:durableId="232201369">
    <w:abstractNumId w:val="2"/>
  </w:num>
  <w:num w:numId="4" w16cid:durableId="668097595">
    <w:abstractNumId w:val="1"/>
  </w:num>
  <w:num w:numId="5" w16cid:durableId="2071423137">
    <w:abstractNumId w:val="1"/>
  </w:num>
  <w:num w:numId="6" w16cid:durableId="180706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AD"/>
    <w:rsid w:val="000163FA"/>
    <w:rsid w:val="00021412"/>
    <w:rsid w:val="00042850"/>
    <w:rsid w:val="00052B9D"/>
    <w:rsid w:val="000643AD"/>
    <w:rsid w:val="00082C5B"/>
    <w:rsid w:val="000932B8"/>
    <w:rsid w:val="000A444C"/>
    <w:rsid w:val="000C42B3"/>
    <w:rsid w:val="000C4587"/>
    <w:rsid w:val="000D0D96"/>
    <w:rsid w:val="000D4842"/>
    <w:rsid w:val="000F1220"/>
    <w:rsid w:val="000F7605"/>
    <w:rsid w:val="001031B6"/>
    <w:rsid w:val="0010336B"/>
    <w:rsid w:val="00106645"/>
    <w:rsid w:val="00110025"/>
    <w:rsid w:val="001146F1"/>
    <w:rsid w:val="00134D0A"/>
    <w:rsid w:val="00136B1E"/>
    <w:rsid w:val="0015663A"/>
    <w:rsid w:val="0017094E"/>
    <w:rsid w:val="00176C8E"/>
    <w:rsid w:val="001812FA"/>
    <w:rsid w:val="001A0290"/>
    <w:rsid w:val="001B6D55"/>
    <w:rsid w:val="00200431"/>
    <w:rsid w:val="0022418F"/>
    <w:rsid w:val="002274CB"/>
    <w:rsid w:val="00256F8E"/>
    <w:rsid w:val="0029616B"/>
    <w:rsid w:val="002E16AA"/>
    <w:rsid w:val="002E6E87"/>
    <w:rsid w:val="002F28A5"/>
    <w:rsid w:val="003034B4"/>
    <w:rsid w:val="003035E0"/>
    <w:rsid w:val="003170E0"/>
    <w:rsid w:val="003204CD"/>
    <w:rsid w:val="00330CB3"/>
    <w:rsid w:val="00333710"/>
    <w:rsid w:val="00344FB0"/>
    <w:rsid w:val="0039779B"/>
    <w:rsid w:val="003A2BA4"/>
    <w:rsid w:val="003D00F8"/>
    <w:rsid w:val="00404E6B"/>
    <w:rsid w:val="0041571D"/>
    <w:rsid w:val="00444B0F"/>
    <w:rsid w:val="0044540A"/>
    <w:rsid w:val="004458AF"/>
    <w:rsid w:val="004478B5"/>
    <w:rsid w:val="00462E9E"/>
    <w:rsid w:val="004835A3"/>
    <w:rsid w:val="00485A4F"/>
    <w:rsid w:val="00490793"/>
    <w:rsid w:val="004B1930"/>
    <w:rsid w:val="004E2A51"/>
    <w:rsid w:val="005104A7"/>
    <w:rsid w:val="005357BE"/>
    <w:rsid w:val="0054624A"/>
    <w:rsid w:val="005750F5"/>
    <w:rsid w:val="00577EB9"/>
    <w:rsid w:val="00584F18"/>
    <w:rsid w:val="00587B43"/>
    <w:rsid w:val="00592965"/>
    <w:rsid w:val="005A36F7"/>
    <w:rsid w:val="005C3218"/>
    <w:rsid w:val="005D07CF"/>
    <w:rsid w:val="005E1132"/>
    <w:rsid w:val="005E5680"/>
    <w:rsid w:val="0060332E"/>
    <w:rsid w:val="00613424"/>
    <w:rsid w:val="006319D9"/>
    <w:rsid w:val="006562AE"/>
    <w:rsid w:val="00663936"/>
    <w:rsid w:val="006A218A"/>
    <w:rsid w:val="006A363E"/>
    <w:rsid w:val="006B1926"/>
    <w:rsid w:val="006B2C48"/>
    <w:rsid w:val="006B5D2A"/>
    <w:rsid w:val="006E1C36"/>
    <w:rsid w:val="006E2276"/>
    <w:rsid w:val="00722678"/>
    <w:rsid w:val="00727E88"/>
    <w:rsid w:val="00744B88"/>
    <w:rsid w:val="00757B39"/>
    <w:rsid w:val="0076466F"/>
    <w:rsid w:val="00780666"/>
    <w:rsid w:val="007A7BE1"/>
    <w:rsid w:val="007C524D"/>
    <w:rsid w:val="007C5AD2"/>
    <w:rsid w:val="007E4C8E"/>
    <w:rsid w:val="007E518B"/>
    <w:rsid w:val="007E7264"/>
    <w:rsid w:val="007E7E80"/>
    <w:rsid w:val="008013AC"/>
    <w:rsid w:val="00813320"/>
    <w:rsid w:val="00824AFD"/>
    <w:rsid w:val="0083024D"/>
    <w:rsid w:val="008344E0"/>
    <w:rsid w:val="00851A0C"/>
    <w:rsid w:val="00877DE6"/>
    <w:rsid w:val="00881DC1"/>
    <w:rsid w:val="00890B30"/>
    <w:rsid w:val="008C0519"/>
    <w:rsid w:val="008C6330"/>
    <w:rsid w:val="009000B5"/>
    <w:rsid w:val="009011FD"/>
    <w:rsid w:val="00914F40"/>
    <w:rsid w:val="009174A5"/>
    <w:rsid w:val="00965883"/>
    <w:rsid w:val="0099057A"/>
    <w:rsid w:val="009A0221"/>
    <w:rsid w:val="009C165C"/>
    <w:rsid w:val="009C43E6"/>
    <w:rsid w:val="009C7A38"/>
    <w:rsid w:val="009F1FE1"/>
    <w:rsid w:val="009F5EFB"/>
    <w:rsid w:val="00A05794"/>
    <w:rsid w:val="00A06634"/>
    <w:rsid w:val="00A25CE7"/>
    <w:rsid w:val="00A571EE"/>
    <w:rsid w:val="00A90D5C"/>
    <w:rsid w:val="00A9216C"/>
    <w:rsid w:val="00A94A69"/>
    <w:rsid w:val="00AA53B9"/>
    <w:rsid w:val="00AC0773"/>
    <w:rsid w:val="00B01ED6"/>
    <w:rsid w:val="00B31539"/>
    <w:rsid w:val="00B3783D"/>
    <w:rsid w:val="00B5130B"/>
    <w:rsid w:val="00B6611C"/>
    <w:rsid w:val="00B74CA8"/>
    <w:rsid w:val="00B8397D"/>
    <w:rsid w:val="00B91878"/>
    <w:rsid w:val="00B95853"/>
    <w:rsid w:val="00B95C3A"/>
    <w:rsid w:val="00BA2871"/>
    <w:rsid w:val="00BA739E"/>
    <w:rsid w:val="00BC3003"/>
    <w:rsid w:val="00BE202D"/>
    <w:rsid w:val="00BF1663"/>
    <w:rsid w:val="00C007AD"/>
    <w:rsid w:val="00C56F6F"/>
    <w:rsid w:val="00C724A1"/>
    <w:rsid w:val="00C7282C"/>
    <w:rsid w:val="00CA441D"/>
    <w:rsid w:val="00CD5B13"/>
    <w:rsid w:val="00CD6406"/>
    <w:rsid w:val="00CE0322"/>
    <w:rsid w:val="00CE52E1"/>
    <w:rsid w:val="00D01E1C"/>
    <w:rsid w:val="00D051EF"/>
    <w:rsid w:val="00D12B28"/>
    <w:rsid w:val="00D46A8D"/>
    <w:rsid w:val="00D65E0D"/>
    <w:rsid w:val="00D81401"/>
    <w:rsid w:val="00D9107B"/>
    <w:rsid w:val="00DA2FE3"/>
    <w:rsid w:val="00E0238E"/>
    <w:rsid w:val="00E25D5C"/>
    <w:rsid w:val="00E4048F"/>
    <w:rsid w:val="00E44A71"/>
    <w:rsid w:val="00E46029"/>
    <w:rsid w:val="00E643A4"/>
    <w:rsid w:val="00E726F0"/>
    <w:rsid w:val="00E824AB"/>
    <w:rsid w:val="00E8297F"/>
    <w:rsid w:val="00E87A43"/>
    <w:rsid w:val="00EA449E"/>
    <w:rsid w:val="00EA6EAF"/>
    <w:rsid w:val="00EB0157"/>
    <w:rsid w:val="00ED5B63"/>
    <w:rsid w:val="00EE7D2C"/>
    <w:rsid w:val="00EF07BD"/>
    <w:rsid w:val="00EF27BB"/>
    <w:rsid w:val="00F002AA"/>
    <w:rsid w:val="00F21261"/>
    <w:rsid w:val="00F234CB"/>
    <w:rsid w:val="00F55FAD"/>
    <w:rsid w:val="00F6459C"/>
    <w:rsid w:val="00F819AF"/>
    <w:rsid w:val="00F81FC3"/>
    <w:rsid w:val="00FA0EBD"/>
    <w:rsid w:val="00FA373F"/>
    <w:rsid w:val="00FB5C93"/>
    <w:rsid w:val="00FB60F6"/>
    <w:rsid w:val="00FD25CE"/>
    <w:rsid w:val="00FD6306"/>
    <w:rsid w:val="00FF037C"/>
    <w:rsid w:val="18805A53"/>
    <w:rsid w:val="21783561"/>
    <w:rsid w:val="269B50E3"/>
    <w:rsid w:val="278F6ABB"/>
    <w:rsid w:val="2872C1E0"/>
    <w:rsid w:val="33219341"/>
    <w:rsid w:val="461AD318"/>
    <w:rsid w:val="4CAD6023"/>
    <w:rsid w:val="4D9B2B12"/>
    <w:rsid w:val="52723E98"/>
    <w:rsid w:val="546D1B5D"/>
    <w:rsid w:val="5E91EBF4"/>
    <w:rsid w:val="62F08A7E"/>
    <w:rsid w:val="638B7D4E"/>
    <w:rsid w:val="657B4C7B"/>
    <w:rsid w:val="6C916DDA"/>
    <w:rsid w:val="71EC2A22"/>
    <w:rsid w:val="7379E755"/>
    <w:rsid w:val="77546C30"/>
    <w:rsid w:val="7DF2637C"/>
    <w:rsid w:val="7EB61F1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F6720"/>
  <w15:chartTrackingRefBased/>
  <w15:docId w15:val="{1D6A426C-50C1-4F72-AAB7-86040B21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rsid w:val="004458AF"/>
    <w:pPr>
      <w:spacing w:after="132" w:line="264" w:lineRule="atLeast"/>
    </w:pPr>
    <w:rPr>
      <w:color w:val="000000" w:themeColor="text1"/>
      <w:kern w:val="8"/>
      <w:sz w:val="18"/>
    </w:rPr>
  </w:style>
  <w:style w:type="paragraph" w:styleId="Heading1">
    <w:name w:val="heading 1"/>
    <w:basedOn w:val="Normal"/>
    <w:next w:val="Normal"/>
    <w:uiPriority w:val="9"/>
    <w:qFormat/>
    <w:rsid w:val="00BA2871"/>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uiPriority w:val="9"/>
    <w:semiHidden/>
    <w:qFormat/>
    <w:rsid w:val="00BA287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uiPriority w:val="9"/>
    <w:semiHidden/>
    <w:unhideWhenUsed/>
    <w:qFormat/>
    <w:rsid w:val="00BA2871"/>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uiPriority w:val="9"/>
    <w:semiHidden/>
    <w:unhideWhenUsed/>
    <w:qFormat/>
    <w:rsid w:val="00C00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uiPriority w:val="9"/>
    <w:semiHidden/>
    <w:unhideWhenUsed/>
    <w:qFormat/>
    <w:rsid w:val="00C00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uiPriority w:val="9"/>
    <w:semiHidden/>
    <w:unhideWhenUsed/>
    <w:qFormat/>
    <w:rsid w:val="00C00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uiPriority w:val="9"/>
    <w:semiHidden/>
    <w:unhideWhenUsed/>
    <w:qFormat/>
    <w:rsid w:val="00C00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uiPriority w:val="9"/>
    <w:semiHidden/>
    <w:unhideWhenUsed/>
    <w:qFormat/>
    <w:rsid w:val="00C00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uiPriority w:val="9"/>
    <w:semiHidden/>
    <w:unhideWhenUsed/>
    <w:qFormat/>
    <w:rsid w:val="00C00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7E4C8E"/>
    <w:rPr>
      <w:sz w:val="16"/>
      <w:szCs w:val="16"/>
    </w:rPr>
  </w:style>
  <w:style w:type="paragraph" w:styleId="CommentText">
    <w:name w:val="annotation text"/>
    <w:basedOn w:val="Normal"/>
    <w:link w:val="CommentTextChar"/>
    <w:uiPriority w:val="99"/>
    <w:semiHidden/>
    <w:rsid w:val="007E4C8E"/>
    <w:pPr>
      <w:spacing w:after="120" w:line="240" w:lineRule="auto"/>
    </w:pPr>
    <w:rPr>
      <w:rFonts w:ascii="IBM Plex Sans Condensed" w:hAnsi="IBM Plex Sans Condensed"/>
      <w:kern w:val="0"/>
      <w:sz w:val="20"/>
      <w:szCs w:val="20"/>
      <w14:ligatures w14:val="none"/>
    </w:rPr>
  </w:style>
  <w:style w:type="character" w:customStyle="1" w:styleId="CommentTextChar">
    <w:name w:val="Comment Text Char"/>
    <w:basedOn w:val="DefaultParagraphFont"/>
    <w:link w:val="CommentText"/>
    <w:uiPriority w:val="99"/>
    <w:semiHidden/>
    <w:rsid w:val="007E4C8E"/>
    <w:rPr>
      <w:rFonts w:ascii="IBM Plex Sans Condensed" w:hAnsi="IBM Plex Sans Condensed"/>
      <w:color w:val="000000" w:themeColor="text1"/>
      <w:kern w:val="0"/>
      <w:sz w:val="20"/>
      <w:szCs w:val="20"/>
      <w14:ligatures w14:val="none"/>
    </w:rPr>
  </w:style>
  <w:style w:type="paragraph" w:styleId="TOCHeading">
    <w:name w:val="TOC Heading"/>
    <w:basedOn w:val="Heading1"/>
    <w:next w:val="Normal"/>
    <w:uiPriority w:val="39"/>
    <w:unhideWhenUsed/>
    <w:qFormat/>
    <w:rsid w:val="00B3783D"/>
    <w:pPr>
      <w:spacing w:line="259" w:lineRule="auto"/>
      <w:outlineLvl w:val="9"/>
    </w:pPr>
    <w:rPr>
      <w:kern w:val="0"/>
      <w:lang w:eastAsia="de-DE"/>
      <w14:ligatures w14:val="none"/>
    </w:rPr>
  </w:style>
  <w:style w:type="paragraph" w:styleId="TOC1">
    <w:name w:val="toc 1"/>
    <w:basedOn w:val="Normal"/>
    <w:next w:val="Normal"/>
    <w:autoRedefine/>
    <w:uiPriority w:val="39"/>
    <w:unhideWhenUsed/>
    <w:rsid w:val="00B3783D"/>
    <w:pPr>
      <w:spacing w:after="100"/>
    </w:pPr>
  </w:style>
  <w:style w:type="paragraph" w:styleId="ListParagraph">
    <w:name w:val="List Paragraph"/>
    <w:basedOn w:val="Normal"/>
    <w:uiPriority w:val="34"/>
    <w:qFormat/>
    <w:rsid w:val="00C007AD"/>
    <w:pPr>
      <w:ind w:left="720"/>
      <w:contextualSpacing/>
    </w:pPr>
  </w:style>
  <w:style w:type="character" w:styleId="IntenseEmphasis">
    <w:name w:val="Intense Emphasis"/>
    <w:basedOn w:val="DefaultParagraphFont"/>
    <w:uiPriority w:val="21"/>
    <w:qFormat/>
    <w:rsid w:val="00C007AD"/>
    <w:rPr>
      <w:i/>
      <w:iCs/>
      <w:color w:val="0F4761" w:themeColor="accent1" w:themeShade="BF"/>
    </w:rPr>
  </w:style>
  <w:style w:type="character" w:styleId="IntenseReference">
    <w:name w:val="Intense Reference"/>
    <w:basedOn w:val="DefaultParagraphFont"/>
    <w:uiPriority w:val="32"/>
    <w:qFormat/>
    <w:rsid w:val="00C007AD"/>
    <w:rPr>
      <w:b/>
      <w:bCs/>
      <w:smallCaps/>
      <w:color w:val="0F4761" w:themeColor="accent1" w:themeShade="BF"/>
      <w:spacing w:val="5"/>
    </w:rPr>
  </w:style>
  <w:style w:type="character" w:styleId="Hyperlink">
    <w:name w:val="Hyperlink"/>
    <w:basedOn w:val="DefaultParagraphFont"/>
    <w:uiPriority w:val="99"/>
    <w:rsid w:val="00C007AD"/>
    <w:rPr>
      <w:color w:val="000000" w:themeColor="text1"/>
      <w:u w:val="single"/>
    </w:rPr>
  </w:style>
  <w:style w:type="character" w:customStyle="1" w:styleId="Heading1Char">
    <w:name w:val="Heading 1 Char"/>
    <w:basedOn w:val="DefaultParagraphFont"/>
    <w:uiPriority w:val="9"/>
    <w:rsid w:val="004458AF"/>
    <w:rPr>
      <w:rFonts w:asciiTheme="majorHAnsi" w:eastAsiaTheme="majorEastAsia" w:hAnsiTheme="majorHAnsi" w:cstheme="majorBidi"/>
      <w:color w:val="0F4761" w:themeColor="accent1" w:themeShade="BF"/>
      <w:kern w:val="8"/>
      <w:sz w:val="32"/>
      <w:szCs w:val="32"/>
    </w:rPr>
  </w:style>
  <w:style w:type="character" w:customStyle="1" w:styleId="Heading2Char">
    <w:name w:val="Heading 2 Char"/>
    <w:basedOn w:val="DefaultParagraphFont"/>
    <w:uiPriority w:val="9"/>
    <w:semiHidden/>
    <w:rsid w:val="004458AF"/>
    <w:rPr>
      <w:rFonts w:asciiTheme="majorHAnsi" w:eastAsiaTheme="majorEastAsia" w:hAnsiTheme="majorHAnsi" w:cstheme="majorBidi"/>
      <w:color w:val="0F4761" w:themeColor="accent1" w:themeShade="BF"/>
      <w:kern w:val="8"/>
      <w:sz w:val="26"/>
      <w:szCs w:val="26"/>
    </w:rPr>
  </w:style>
  <w:style w:type="character" w:customStyle="1" w:styleId="Heading3Char">
    <w:name w:val="Heading 3 Char"/>
    <w:basedOn w:val="DefaultParagraphFont"/>
    <w:uiPriority w:val="9"/>
    <w:semiHidden/>
    <w:rsid w:val="004458AF"/>
    <w:rPr>
      <w:rFonts w:asciiTheme="majorHAnsi" w:eastAsiaTheme="majorEastAsia" w:hAnsiTheme="majorHAnsi" w:cstheme="majorBidi"/>
      <w:color w:val="0A2F40" w:themeColor="accent1" w:themeShade="7F"/>
      <w:kern w:val="8"/>
      <w:sz w:val="24"/>
      <w:szCs w:val="24"/>
    </w:rPr>
  </w:style>
  <w:style w:type="character" w:customStyle="1" w:styleId="Heading4Char">
    <w:name w:val="Heading 4 Char"/>
    <w:basedOn w:val="DefaultParagraphFont"/>
    <w:uiPriority w:val="9"/>
    <w:semiHidden/>
    <w:rsid w:val="004458AF"/>
    <w:rPr>
      <w:rFonts w:eastAsiaTheme="majorEastAsia" w:cstheme="majorBidi"/>
      <w:i/>
      <w:iCs/>
      <w:color w:val="0F4761" w:themeColor="accent1" w:themeShade="BF"/>
      <w:kern w:val="8"/>
      <w:sz w:val="18"/>
    </w:rPr>
  </w:style>
  <w:style w:type="character" w:customStyle="1" w:styleId="Heading5Char">
    <w:name w:val="Heading 5 Char"/>
    <w:basedOn w:val="DefaultParagraphFont"/>
    <w:uiPriority w:val="9"/>
    <w:semiHidden/>
    <w:rsid w:val="004458AF"/>
    <w:rPr>
      <w:rFonts w:eastAsiaTheme="majorEastAsia" w:cstheme="majorBidi"/>
      <w:color w:val="0F4761" w:themeColor="accent1" w:themeShade="BF"/>
      <w:kern w:val="8"/>
      <w:sz w:val="18"/>
    </w:rPr>
  </w:style>
  <w:style w:type="character" w:customStyle="1" w:styleId="Heading6Char">
    <w:name w:val="Heading 6 Char"/>
    <w:basedOn w:val="DefaultParagraphFont"/>
    <w:uiPriority w:val="9"/>
    <w:semiHidden/>
    <w:rsid w:val="004458AF"/>
    <w:rPr>
      <w:rFonts w:eastAsiaTheme="majorEastAsia" w:cstheme="majorBidi"/>
      <w:i/>
      <w:iCs/>
      <w:color w:val="595959" w:themeColor="text1" w:themeTint="A6"/>
      <w:kern w:val="8"/>
      <w:sz w:val="18"/>
    </w:rPr>
  </w:style>
  <w:style w:type="character" w:customStyle="1" w:styleId="Heading7Char">
    <w:name w:val="Heading 7 Char"/>
    <w:basedOn w:val="DefaultParagraphFont"/>
    <w:uiPriority w:val="9"/>
    <w:semiHidden/>
    <w:rsid w:val="004458AF"/>
    <w:rPr>
      <w:rFonts w:eastAsiaTheme="majorEastAsia" w:cstheme="majorBidi"/>
      <w:color w:val="595959" w:themeColor="text1" w:themeTint="A6"/>
      <w:kern w:val="8"/>
      <w:sz w:val="18"/>
    </w:rPr>
  </w:style>
  <w:style w:type="character" w:customStyle="1" w:styleId="Heading8Char">
    <w:name w:val="Heading 8 Char"/>
    <w:basedOn w:val="DefaultParagraphFont"/>
    <w:uiPriority w:val="9"/>
    <w:semiHidden/>
    <w:rsid w:val="004458AF"/>
    <w:rPr>
      <w:rFonts w:eastAsiaTheme="majorEastAsia" w:cstheme="majorBidi"/>
      <w:i/>
      <w:iCs/>
      <w:color w:val="272727" w:themeColor="text1" w:themeTint="D8"/>
      <w:kern w:val="8"/>
      <w:sz w:val="18"/>
    </w:rPr>
  </w:style>
  <w:style w:type="character" w:customStyle="1" w:styleId="Heading9Char">
    <w:name w:val="Heading 9 Char"/>
    <w:basedOn w:val="DefaultParagraphFont"/>
    <w:uiPriority w:val="9"/>
    <w:semiHidden/>
    <w:rsid w:val="004458AF"/>
    <w:rPr>
      <w:rFonts w:eastAsiaTheme="majorEastAsia" w:cstheme="majorBidi"/>
      <w:color w:val="272727" w:themeColor="text1" w:themeTint="D8"/>
      <w:kern w:val="8"/>
      <w:sz w:val="18"/>
    </w:rPr>
  </w:style>
  <w:style w:type="character" w:customStyle="1" w:styleId="TitleChar">
    <w:name w:val="Title Char"/>
    <w:basedOn w:val="DefaultParagraphFont"/>
    <w:uiPriority w:val="10"/>
    <w:rsid w:val="004458AF"/>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uiPriority w:val="11"/>
    <w:rsid w:val="004458AF"/>
    <w:rPr>
      <w:rFonts w:eastAsiaTheme="majorEastAsia" w:cstheme="majorBidi"/>
      <w:color w:val="595959" w:themeColor="text1" w:themeTint="A6"/>
      <w:spacing w:val="15"/>
      <w:kern w:val="8"/>
      <w:sz w:val="28"/>
      <w:szCs w:val="28"/>
    </w:rPr>
  </w:style>
  <w:style w:type="character" w:customStyle="1" w:styleId="QuoteChar">
    <w:name w:val="Quote Char"/>
    <w:basedOn w:val="DefaultParagraphFont"/>
    <w:uiPriority w:val="29"/>
    <w:rsid w:val="004458AF"/>
    <w:rPr>
      <w:i/>
      <w:iCs/>
      <w:color w:val="404040" w:themeColor="text1" w:themeTint="BF"/>
      <w:kern w:val="8"/>
      <w:sz w:val="18"/>
    </w:rPr>
  </w:style>
  <w:style w:type="character" w:customStyle="1" w:styleId="IntenseQuoteChar">
    <w:name w:val="Intense Quote Char"/>
    <w:basedOn w:val="DefaultParagraphFont"/>
    <w:uiPriority w:val="30"/>
    <w:rsid w:val="004458AF"/>
    <w:rPr>
      <w:i/>
      <w:iCs/>
      <w:color w:val="0F4761" w:themeColor="accent1" w:themeShade="BF"/>
      <w:kern w:val="8"/>
      <w:sz w:val="18"/>
    </w:rPr>
  </w:style>
  <w:style w:type="character" w:customStyle="1" w:styleId="TOC2Char">
    <w:name w:val="TOC 2 Char"/>
    <w:basedOn w:val="DefaultParagraphFont"/>
    <w:uiPriority w:val="39"/>
    <w:rsid w:val="004458AF"/>
    <w:rPr>
      <w:noProof/>
      <w:color w:val="000000" w:themeColor="text1"/>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5E1132"/>
    <w:pPr>
      <w:spacing w:after="132"/>
    </w:pPr>
    <w:rPr>
      <w:rFonts w:asciiTheme="minorHAnsi" w:hAnsiTheme="minorHAnsi"/>
      <w:b/>
      <w:bCs/>
      <w:kern w:val="8"/>
      <w14:ligatures w14:val="standardContextual"/>
    </w:rPr>
  </w:style>
  <w:style w:type="character" w:customStyle="1" w:styleId="CommentSubjectChar">
    <w:name w:val="Comment Subject Char"/>
    <w:basedOn w:val="CommentTextChar"/>
    <w:link w:val="CommentSubject"/>
    <w:uiPriority w:val="99"/>
    <w:semiHidden/>
    <w:rsid w:val="005E1132"/>
    <w:rPr>
      <w:rFonts w:ascii="IBM Plex Sans Condensed" w:hAnsi="IBM Plex Sans Condensed"/>
      <w:b/>
      <w:bCs/>
      <w:color w:val="000000" w:themeColor="text1"/>
      <w:kern w:val="8"/>
      <w:sz w:val="20"/>
      <w:szCs w:val="20"/>
      <w14:ligatures w14:val="none"/>
    </w:rPr>
  </w:style>
  <w:style w:type="paragraph" w:styleId="Revision">
    <w:name w:val="Revision"/>
    <w:hidden/>
    <w:uiPriority w:val="99"/>
    <w:semiHidden/>
    <w:rsid w:val="005E1132"/>
    <w:pPr>
      <w:spacing w:after="0" w:line="240" w:lineRule="auto"/>
    </w:pPr>
    <w:rPr>
      <w:color w:val="000000" w:themeColor="text1"/>
      <w:kern w:val="8"/>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368c4a-cfb7-462a-bb6e-0cd873b84101">
      <Terms xmlns="http://schemas.microsoft.com/office/infopath/2007/PartnerControls"/>
    </lcf76f155ced4ddcb4097134ff3c332f>
    <TaxCatchAll xmlns="e5faaa58-79f2-49f9-860d-d2c61bb0ba71" xsi:nil="true"/>
    <_dlc_DocId xmlns="e5faaa58-79f2-49f9-860d-d2c61bb0ba71">5RPXSJNFPDSX-346208175-691825</_dlc_DocId>
    <_dlc_DocIdUrl xmlns="e5faaa58-79f2-49f9-860d-d2c61bb0ba71">
      <Url>https://fawind1.sharepoint.com/sites/Files/_layouts/15/DocIdRedir.aspx?ID=5RPXSJNFPDSX-346208175-691825</Url>
      <Description>5RPXSJNFPDSX-346208175-691825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1DACB41FEA0914C9BF755511E356B51" ma:contentTypeVersion="14" ma:contentTypeDescription="Ein neues Dokument erstellen." ma:contentTypeScope="" ma:versionID="340ec08c955e7ff8f2eba1769b640b97">
  <xsd:schema xmlns:xsd="http://www.w3.org/2001/XMLSchema" xmlns:xs="http://www.w3.org/2001/XMLSchema" xmlns:p="http://schemas.microsoft.com/office/2006/metadata/properties" xmlns:ns2="e5faaa58-79f2-49f9-860d-d2c61bb0ba71" xmlns:ns3="d0368c4a-cfb7-462a-bb6e-0cd873b84101" targetNamespace="http://schemas.microsoft.com/office/2006/metadata/properties" ma:root="true" ma:fieldsID="26f5f2cc801a7c26032009a29c1c7a48" ns2:_="" ns3:_="">
    <xsd:import namespace="e5faaa58-79f2-49f9-860d-d2c61bb0ba71"/>
    <xsd:import namespace="d0368c4a-cfb7-462a-bb6e-0cd873b8410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aa58-79f2-49f9-860d-d2c61bb0ba71"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7435fa9d-800d-4886-a78a-3f617409dd86}" ma:internalName="TaxCatchAll" ma:showField="CatchAllData" ma:web="e5faaa58-79f2-49f9-860d-d2c61bb0ba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368c4a-cfb7-462a-bb6e-0cd873b841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51fced89-30e0-41c3-becb-42b971343a2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D57B-E6B5-4F9F-9D2B-9078F5A584E0}">
  <ds:schemaRefs>
    <ds:schemaRef ds:uri="http://schemas.microsoft.com/sharepoint/v3/contenttype/forms"/>
  </ds:schemaRefs>
</ds:datastoreItem>
</file>

<file path=customXml/itemProps2.xml><?xml version="1.0" encoding="utf-8"?>
<ds:datastoreItem xmlns:ds="http://schemas.openxmlformats.org/officeDocument/2006/customXml" ds:itemID="{AD2CD217-A35B-4824-A55F-2D5558A1145F}">
  <ds:schemaRefs>
    <ds:schemaRef ds:uri="http://schemas.microsoft.com/sharepoint/events"/>
  </ds:schemaRefs>
</ds:datastoreItem>
</file>

<file path=customXml/itemProps3.xml><?xml version="1.0" encoding="utf-8"?>
<ds:datastoreItem xmlns:ds="http://schemas.openxmlformats.org/officeDocument/2006/customXml" ds:itemID="{3A5BF39D-9C65-4993-A5BD-D68F7141C11F}">
  <ds:schemaRefs>
    <ds:schemaRef ds:uri="http://schemas.microsoft.com/office/2006/metadata/properties"/>
    <ds:schemaRef ds:uri="http://schemas.microsoft.com/office/infopath/2007/PartnerControls"/>
    <ds:schemaRef ds:uri="d0368c4a-cfb7-462a-bb6e-0cd873b84101"/>
    <ds:schemaRef ds:uri="e5faaa58-79f2-49f9-860d-d2c61bb0ba71"/>
  </ds:schemaRefs>
</ds:datastoreItem>
</file>

<file path=customXml/itemProps4.xml><?xml version="1.0" encoding="utf-8"?>
<ds:datastoreItem xmlns:ds="http://schemas.openxmlformats.org/officeDocument/2006/customXml" ds:itemID="{23DD1C9C-FE33-4D36-8502-BC8BFB756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aaa58-79f2-49f9-860d-d2c61bb0ba71"/>
    <ds:schemaRef ds:uri="d0368c4a-cfb7-462a-bb6e-0cd873b84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2D3ACE6-F314-46A3-B815-B761E315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2482</Words>
  <Characters>14153</Characters>
  <Application>Microsoft Office Word</Application>
  <DocSecurity>4</DocSecurity>
  <Lines>117</Lines>
  <Paragraphs>33</Paragraphs>
  <ScaleCrop>false</ScaleCrop>
  <Company/>
  <LinksUpToDate>false</LinksUpToDate>
  <CharactersWithSpaces>16602</CharactersWithSpaces>
  <SharedDoc>false</SharedDoc>
  <HLinks>
    <vt:vector size="192" baseType="variant">
      <vt:variant>
        <vt:i4>1900599</vt:i4>
      </vt:variant>
      <vt:variant>
        <vt:i4>188</vt:i4>
      </vt:variant>
      <vt:variant>
        <vt:i4>0</vt:i4>
      </vt:variant>
      <vt:variant>
        <vt:i4>5</vt:i4>
      </vt:variant>
      <vt:variant>
        <vt:lpwstr/>
      </vt:variant>
      <vt:variant>
        <vt:lpwstr>_Toc230947171</vt:lpwstr>
      </vt:variant>
      <vt:variant>
        <vt:i4>1900599</vt:i4>
      </vt:variant>
      <vt:variant>
        <vt:i4>182</vt:i4>
      </vt:variant>
      <vt:variant>
        <vt:i4>0</vt:i4>
      </vt:variant>
      <vt:variant>
        <vt:i4>5</vt:i4>
      </vt:variant>
      <vt:variant>
        <vt:lpwstr/>
      </vt:variant>
      <vt:variant>
        <vt:lpwstr>_Toc230947170</vt:lpwstr>
      </vt:variant>
      <vt:variant>
        <vt:i4>1835063</vt:i4>
      </vt:variant>
      <vt:variant>
        <vt:i4>176</vt:i4>
      </vt:variant>
      <vt:variant>
        <vt:i4>0</vt:i4>
      </vt:variant>
      <vt:variant>
        <vt:i4>5</vt:i4>
      </vt:variant>
      <vt:variant>
        <vt:lpwstr/>
      </vt:variant>
      <vt:variant>
        <vt:lpwstr>_Toc230947169</vt:lpwstr>
      </vt:variant>
      <vt:variant>
        <vt:i4>1835063</vt:i4>
      </vt:variant>
      <vt:variant>
        <vt:i4>170</vt:i4>
      </vt:variant>
      <vt:variant>
        <vt:i4>0</vt:i4>
      </vt:variant>
      <vt:variant>
        <vt:i4>5</vt:i4>
      </vt:variant>
      <vt:variant>
        <vt:lpwstr/>
      </vt:variant>
      <vt:variant>
        <vt:lpwstr>_Toc230947168</vt:lpwstr>
      </vt:variant>
      <vt:variant>
        <vt:i4>1835063</vt:i4>
      </vt:variant>
      <vt:variant>
        <vt:i4>164</vt:i4>
      </vt:variant>
      <vt:variant>
        <vt:i4>0</vt:i4>
      </vt:variant>
      <vt:variant>
        <vt:i4>5</vt:i4>
      </vt:variant>
      <vt:variant>
        <vt:lpwstr/>
      </vt:variant>
      <vt:variant>
        <vt:lpwstr>_Toc230947167</vt:lpwstr>
      </vt:variant>
      <vt:variant>
        <vt:i4>1835063</vt:i4>
      </vt:variant>
      <vt:variant>
        <vt:i4>158</vt:i4>
      </vt:variant>
      <vt:variant>
        <vt:i4>0</vt:i4>
      </vt:variant>
      <vt:variant>
        <vt:i4>5</vt:i4>
      </vt:variant>
      <vt:variant>
        <vt:lpwstr/>
      </vt:variant>
      <vt:variant>
        <vt:lpwstr>_Toc230947166</vt:lpwstr>
      </vt:variant>
      <vt:variant>
        <vt:i4>1835063</vt:i4>
      </vt:variant>
      <vt:variant>
        <vt:i4>152</vt:i4>
      </vt:variant>
      <vt:variant>
        <vt:i4>0</vt:i4>
      </vt:variant>
      <vt:variant>
        <vt:i4>5</vt:i4>
      </vt:variant>
      <vt:variant>
        <vt:lpwstr/>
      </vt:variant>
      <vt:variant>
        <vt:lpwstr>_Toc230947165</vt:lpwstr>
      </vt:variant>
      <vt:variant>
        <vt:i4>1835063</vt:i4>
      </vt:variant>
      <vt:variant>
        <vt:i4>146</vt:i4>
      </vt:variant>
      <vt:variant>
        <vt:i4>0</vt:i4>
      </vt:variant>
      <vt:variant>
        <vt:i4>5</vt:i4>
      </vt:variant>
      <vt:variant>
        <vt:lpwstr/>
      </vt:variant>
      <vt:variant>
        <vt:lpwstr>_Toc230947164</vt:lpwstr>
      </vt:variant>
      <vt:variant>
        <vt:i4>1835063</vt:i4>
      </vt:variant>
      <vt:variant>
        <vt:i4>140</vt:i4>
      </vt:variant>
      <vt:variant>
        <vt:i4>0</vt:i4>
      </vt:variant>
      <vt:variant>
        <vt:i4>5</vt:i4>
      </vt:variant>
      <vt:variant>
        <vt:lpwstr/>
      </vt:variant>
      <vt:variant>
        <vt:lpwstr>_Toc230947163</vt:lpwstr>
      </vt:variant>
      <vt:variant>
        <vt:i4>1835063</vt:i4>
      </vt:variant>
      <vt:variant>
        <vt:i4>134</vt:i4>
      </vt:variant>
      <vt:variant>
        <vt:i4>0</vt:i4>
      </vt:variant>
      <vt:variant>
        <vt:i4>5</vt:i4>
      </vt:variant>
      <vt:variant>
        <vt:lpwstr/>
      </vt:variant>
      <vt:variant>
        <vt:lpwstr>_Toc230947162</vt:lpwstr>
      </vt:variant>
      <vt:variant>
        <vt:i4>1835063</vt:i4>
      </vt:variant>
      <vt:variant>
        <vt:i4>128</vt:i4>
      </vt:variant>
      <vt:variant>
        <vt:i4>0</vt:i4>
      </vt:variant>
      <vt:variant>
        <vt:i4>5</vt:i4>
      </vt:variant>
      <vt:variant>
        <vt:lpwstr/>
      </vt:variant>
      <vt:variant>
        <vt:lpwstr>_Toc230947161</vt:lpwstr>
      </vt:variant>
      <vt:variant>
        <vt:i4>1835063</vt:i4>
      </vt:variant>
      <vt:variant>
        <vt:i4>122</vt:i4>
      </vt:variant>
      <vt:variant>
        <vt:i4>0</vt:i4>
      </vt:variant>
      <vt:variant>
        <vt:i4>5</vt:i4>
      </vt:variant>
      <vt:variant>
        <vt:lpwstr/>
      </vt:variant>
      <vt:variant>
        <vt:lpwstr>_Toc230947160</vt:lpwstr>
      </vt:variant>
      <vt:variant>
        <vt:i4>2031671</vt:i4>
      </vt:variant>
      <vt:variant>
        <vt:i4>116</vt:i4>
      </vt:variant>
      <vt:variant>
        <vt:i4>0</vt:i4>
      </vt:variant>
      <vt:variant>
        <vt:i4>5</vt:i4>
      </vt:variant>
      <vt:variant>
        <vt:lpwstr/>
      </vt:variant>
      <vt:variant>
        <vt:lpwstr>_Toc230947159</vt:lpwstr>
      </vt:variant>
      <vt:variant>
        <vt:i4>2031671</vt:i4>
      </vt:variant>
      <vt:variant>
        <vt:i4>110</vt:i4>
      </vt:variant>
      <vt:variant>
        <vt:i4>0</vt:i4>
      </vt:variant>
      <vt:variant>
        <vt:i4>5</vt:i4>
      </vt:variant>
      <vt:variant>
        <vt:lpwstr/>
      </vt:variant>
      <vt:variant>
        <vt:lpwstr>_Toc230947158</vt:lpwstr>
      </vt:variant>
      <vt:variant>
        <vt:i4>2031671</vt:i4>
      </vt:variant>
      <vt:variant>
        <vt:i4>104</vt:i4>
      </vt:variant>
      <vt:variant>
        <vt:i4>0</vt:i4>
      </vt:variant>
      <vt:variant>
        <vt:i4>5</vt:i4>
      </vt:variant>
      <vt:variant>
        <vt:lpwstr/>
      </vt:variant>
      <vt:variant>
        <vt:lpwstr>_Toc230947157</vt:lpwstr>
      </vt:variant>
      <vt:variant>
        <vt:i4>2031671</vt:i4>
      </vt:variant>
      <vt:variant>
        <vt:i4>98</vt:i4>
      </vt:variant>
      <vt:variant>
        <vt:i4>0</vt:i4>
      </vt:variant>
      <vt:variant>
        <vt:i4>5</vt:i4>
      </vt:variant>
      <vt:variant>
        <vt:lpwstr/>
      </vt:variant>
      <vt:variant>
        <vt:lpwstr>_Toc230947156</vt:lpwstr>
      </vt:variant>
      <vt:variant>
        <vt:i4>2031671</vt:i4>
      </vt:variant>
      <vt:variant>
        <vt:i4>92</vt:i4>
      </vt:variant>
      <vt:variant>
        <vt:i4>0</vt:i4>
      </vt:variant>
      <vt:variant>
        <vt:i4>5</vt:i4>
      </vt:variant>
      <vt:variant>
        <vt:lpwstr/>
      </vt:variant>
      <vt:variant>
        <vt:lpwstr>_Toc230947155</vt:lpwstr>
      </vt:variant>
      <vt:variant>
        <vt:i4>2031671</vt:i4>
      </vt:variant>
      <vt:variant>
        <vt:i4>86</vt:i4>
      </vt:variant>
      <vt:variant>
        <vt:i4>0</vt:i4>
      </vt:variant>
      <vt:variant>
        <vt:i4>5</vt:i4>
      </vt:variant>
      <vt:variant>
        <vt:lpwstr/>
      </vt:variant>
      <vt:variant>
        <vt:lpwstr>_Toc230947154</vt:lpwstr>
      </vt:variant>
      <vt:variant>
        <vt:i4>2031671</vt:i4>
      </vt:variant>
      <vt:variant>
        <vt:i4>80</vt:i4>
      </vt:variant>
      <vt:variant>
        <vt:i4>0</vt:i4>
      </vt:variant>
      <vt:variant>
        <vt:i4>5</vt:i4>
      </vt:variant>
      <vt:variant>
        <vt:lpwstr/>
      </vt:variant>
      <vt:variant>
        <vt:lpwstr>_Toc230947153</vt:lpwstr>
      </vt:variant>
      <vt:variant>
        <vt:i4>2031671</vt:i4>
      </vt:variant>
      <vt:variant>
        <vt:i4>74</vt:i4>
      </vt:variant>
      <vt:variant>
        <vt:i4>0</vt:i4>
      </vt:variant>
      <vt:variant>
        <vt:i4>5</vt:i4>
      </vt:variant>
      <vt:variant>
        <vt:lpwstr/>
      </vt:variant>
      <vt:variant>
        <vt:lpwstr>_Toc230947152</vt:lpwstr>
      </vt:variant>
      <vt:variant>
        <vt:i4>2031671</vt:i4>
      </vt:variant>
      <vt:variant>
        <vt:i4>68</vt:i4>
      </vt:variant>
      <vt:variant>
        <vt:i4>0</vt:i4>
      </vt:variant>
      <vt:variant>
        <vt:i4>5</vt:i4>
      </vt:variant>
      <vt:variant>
        <vt:lpwstr/>
      </vt:variant>
      <vt:variant>
        <vt:lpwstr>_Toc230947151</vt:lpwstr>
      </vt:variant>
      <vt:variant>
        <vt:i4>2031671</vt:i4>
      </vt:variant>
      <vt:variant>
        <vt:i4>62</vt:i4>
      </vt:variant>
      <vt:variant>
        <vt:i4>0</vt:i4>
      </vt:variant>
      <vt:variant>
        <vt:i4>5</vt:i4>
      </vt:variant>
      <vt:variant>
        <vt:lpwstr/>
      </vt:variant>
      <vt:variant>
        <vt:lpwstr>_Toc230947150</vt:lpwstr>
      </vt:variant>
      <vt:variant>
        <vt:i4>1966135</vt:i4>
      </vt:variant>
      <vt:variant>
        <vt:i4>56</vt:i4>
      </vt:variant>
      <vt:variant>
        <vt:i4>0</vt:i4>
      </vt:variant>
      <vt:variant>
        <vt:i4>5</vt:i4>
      </vt:variant>
      <vt:variant>
        <vt:lpwstr/>
      </vt:variant>
      <vt:variant>
        <vt:lpwstr>_Toc230947149</vt:lpwstr>
      </vt:variant>
      <vt:variant>
        <vt:i4>1966135</vt:i4>
      </vt:variant>
      <vt:variant>
        <vt:i4>50</vt:i4>
      </vt:variant>
      <vt:variant>
        <vt:i4>0</vt:i4>
      </vt:variant>
      <vt:variant>
        <vt:i4>5</vt:i4>
      </vt:variant>
      <vt:variant>
        <vt:lpwstr/>
      </vt:variant>
      <vt:variant>
        <vt:lpwstr>_Toc230947148</vt:lpwstr>
      </vt:variant>
      <vt:variant>
        <vt:i4>1966135</vt:i4>
      </vt:variant>
      <vt:variant>
        <vt:i4>44</vt:i4>
      </vt:variant>
      <vt:variant>
        <vt:i4>0</vt:i4>
      </vt:variant>
      <vt:variant>
        <vt:i4>5</vt:i4>
      </vt:variant>
      <vt:variant>
        <vt:lpwstr/>
      </vt:variant>
      <vt:variant>
        <vt:lpwstr>_Toc230947147</vt:lpwstr>
      </vt:variant>
      <vt:variant>
        <vt:i4>1966135</vt:i4>
      </vt:variant>
      <vt:variant>
        <vt:i4>38</vt:i4>
      </vt:variant>
      <vt:variant>
        <vt:i4>0</vt:i4>
      </vt:variant>
      <vt:variant>
        <vt:i4>5</vt:i4>
      </vt:variant>
      <vt:variant>
        <vt:lpwstr/>
      </vt:variant>
      <vt:variant>
        <vt:lpwstr>_Toc230947146</vt:lpwstr>
      </vt:variant>
      <vt:variant>
        <vt:i4>1966135</vt:i4>
      </vt:variant>
      <vt:variant>
        <vt:i4>32</vt:i4>
      </vt:variant>
      <vt:variant>
        <vt:i4>0</vt:i4>
      </vt:variant>
      <vt:variant>
        <vt:i4>5</vt:i4>
      </vt:variant>
      <vt:variant>
        <vt:lpwstr/>
      </vt:variant>
      <vt:variant>
        <vt:lpwstr>_Toc230947145</vt:lpwstr>
      </vt:variant>
      <vt:variant>
        <vt:i4>1966135</vt:i4>
      </vt:variant>
      <vt:variant>
        <vt:i4>26</vt:i4>
      </vt:variant>
      <vt:variant>
        <vt:i4>0</vt:i4>
      </vt:variant>
      <vt:variant>
        <vt:i4>5</vt:i4>
      </vt:variant>
      <vt:variant>
        <vt:lpwstr/>
      </vt:variant>
      <vt:variant>
        <vt:lpwstr>_Toc230947144</vt:lpwstr>
      </vt:variant>
      <vt:variant>
        <vt:i4>1966135</vt:i4>
      </vt:variant>
      <vt:variant>
        <vt:i4>20</vt:i4>
      </vt:variant>
      <vt:variant>
        <vt:i4>0</vt:i4>
      </vt:variant>
      <vt:variant>
        <vt:i4>5</vt:i4>
      </vt:variant>
      <vt:variant>
        <vt:lpwstr/>
      </vt:variant>
      <vt:variant>
        <vt:lpwstr>_Toc230947143</vt:lpwstr>
      </vt:variant>
      <vt:variant>
        <vt:i4>1966135</vt:i4>
      </vt:variant>
      <vt:variant>
        <vt:i4>14</vt:i4>
      </vt:variant>
      <vt:variant>
        <vt:i4>0</vt:i4>
      </vt:variant>
      <vt:variant>
        <vt:i4>5</vt:i4>
      </vt:variant>
      <vt:variant>
        <vt:lpwstr/>
      </vt:variant>
      <vt:variant>
        <vt:lpwstr>_Toc230947142</vt:lpwstr>
      </vt:variant>
      <vt:variant>
        <vt:i4>1966135</vt:i4>
      </vt:variant>
      <vt:variant>
        <vt:i4>8</vt:i4>
      </vt:variant>
      <vt:variant>
        <vt:i4>0</vt:i4>
      </vt:variant>
      <vt:variant>
        <vt:i4>5</vt:i4>
      </vt:variant>
      <vt:variant>
        <vt:lpwstr/>
      </vt:variant>
      <vt:variant>
        <vt:lpwstr>_Toc230947141</vt:lpwstr>
      </vt:variant>
      <vt:variant>
        <vt:i4>1966135</vt:i4>
      </vt:variant>
      <vt:variant>
        <vt:i4>2</vt:i4>
      </vt:variant>
      <vt:variant>
        <vt:i4>0</vt:i4>
      </vt:variant>
      <vt:variant>
        <vt:i4>5</vt:i4>
      </vt:variant>
      <vt:variant>
        <vt:lpwstr/>
      </vt:variant>
      <vt:variant>
        <vt:lpwstr>_Toc230947140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Sudhaus</dc:creator>
  <cp:keywords/>
  <dc:description/>
  <cp:lastModifiedBy>Dirk Sudhaus</cp:lastModifiedBy>
  <cp:revision>67</cp:revision>
  <dcterms:created xsi:type="dcterms:W3CDTF">2026-05-28T16:00:00Z</dcterms:created>
  <dcterms:modified xsi:type="dcterms:W3CDTF">2026-05-29T09:53:00Z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30400</vt:r8>
  </property>
  <property fmtid="{D5CDD505-2E9C-101B-9397-08002B2CF9AE}" pid="3" name="MediaServiceImageTags">
    <vt:lpwstr/>
  </property>
  <property fmtid="{D5CDD505-2E9C-101B-9397-08002B2CF9AE}" pid="4" name="ContentTypeId">
    <vt:lpwstr>0x01010061DACB41FEA0914C9BF755511E356B51</vt:lpwstr>
  </property>
  <property fmtid="{D5CDD505-2E9C-101B-9397-08002B2CF9AE}" pid="5" name="_dlc_DocIdItemGuid">
    <vt:lpwstr>b930648c-eebb-481a-b2b3-f00623d277c2</vt:lpwstr>
  </property>
</Properties>
</file>